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非公企业（组织）承诺书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绥德县工业商贸局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根据选聘大学生工作相关要求，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2023年选聘高校毕业生到非公企业和社会组织工作要求，自主选聘的大学生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在我单位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承诺递交的申报材料真实有效，并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市工信局《关于印发&lt;榆林市选聘优秀高校毕业生到民营企业（组织）工作管理意见&gt;的通知》（榆政工信发﹝2021﹞76号）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严格管理选聘大学生。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二、对</w:t>
      </w:r>
      <w:r>
        <w:rPr>
          <w:rFonts w:hint="eastAsia" w:ascii="仿宋_GB2312" w:hAnsi="仿宋_GB2312" w:eastAsia="仿宋_GB2312" w:cs="仿宋_GB2312"/>
          <w:sz w:val="32"/>
          <w:szCs w:val="32"/>
        </w:rPr>
        <w:t>选聘大学生热情关怀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培育大学生健康成长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；及时发放市财政对选聘大学生的薪酬奖补，同时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（组织）</w:t>
      </w:r>
      <w:r>
        <w:rPr>
          <w:rFonts w:hint="eastAsia" w:ascii="仿宋_GB2312" w:hAnsi="仿宋_GB2312" w:eastAsia="仿宋_GB2312" w:cs="仿宋_GB2312"/>
          <w:sz w:val="32"/>
          <w:szCs w:val="32"/>
        </w:rPr>
        <w:t>同等岗位工作人员工资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最低工资标准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三、加强选聘大学生日常管理工作，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按时上报聘用大学生真实考勤情况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四、自觉接受属地工贸局（经发局）和人力资源服务机构对我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聘大学生的日常监管管理。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如出现以下情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况，将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及时上报辖区工贸局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(经发局）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人力资源服务机构：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1.我单位经营不善，导致经营出现问题无法继续正常运营；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2.我单位与选聘大学生解除劳动合同；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3.我单位发生变更、重组、名称变化等情况；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4.我单位开户行账号发生变更等情况；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如因我单位原因导致多领取的财政奖补资金，由我单位负责如数退回市财政专户。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若违反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承诺，愿承担一切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099" w:firstLineChars="65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（组织）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39" w:firstLineChars="85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（组织）名称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3638" w:firstLineChars="11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5" w:h="16838"/>
          <w:pgMar w:top="1786" w:right="1531" w:bottom="1701" w:left="1587" w:header="850" w:footer="1361" w:gutter="0"/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WNjMjYwZjNhY2Q5ZGJlMGFhMjI0MGM3Y2U0NzMifQ=="/>
  </w:docVars>
  <w:rsids>
    <w:rsidRoot w:val="5C0A758A"/>
    <w:rsid w:val="5C0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2023-10-18T02:27:00Z</dcterms:created>
  <dc:creator>周峰</dc:creator>
  <cp:lastModifiedBy>周峰</cp:lastModifiedBy>
  <dcterms:modified xsi:type="dcterms:W3CDTF">2023-10-18T02:28:09Z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6CE029CC9D0549F0AB8A04C7BAAFAEE8_11</vt:lpwstr>
  </property>
</Properties>
</file>