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1606" w:firstLineChars="5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2024年绥德县食品用一次性塑料餐饮具</w:t>
      </w:r>
    </w:p>
    <w:p>
      <w:pPr>
        <w:adjustRightInd w:val="0"/>
        <w:snapToGrid w:val="0"/>
        <w:spacing w:line="594" w:lineRule="exact"/>
        <w:ind w:firstLine="2249" w:firstLineChars="700"/>
        <w:jc w:val="both"/>
        <w:rPr>
          <w:rFonts w:hint="eastAsia" w:ascii="仿宋" w:hAnsi="仿宋" w:eastAsia="仿宋" w:cs="仿宋"/>
          <w:b/>
          <w:bCs/>
          <w:color w:val="auto"/>
          <w:sz w:val="32"/>
          <w:szCs w:val="32"/>
          <w:highlight w:val="none"/>
          <w:lang w:val="en-US" w:eastAsia="zh-CN"/>
        </w:rPr>
      </w:pPr>
      <w:bookmarkStart w:id="0" w:name="_GoBack"/>
      <w:bookmarkEnd w:id="0"/>
      <w:r>
        <w:rPr>
          <w:rFonts w:hint="eastAsia" w:ascii="仿宋" w:hAnsi="仿宋" w:eastAsia="仿宋" w:cs="仿宋"/>
          <w:b/>
          <w:bCs/>
          <w:color w:val="auto"/>
          <w:sz w:val="32"/>
          <w:szCs w:val="32"/>
          <w:highlight w:val="none"/>
          <w:lang w:val="en-US" w:eastAsia="zh-CN"/>
        </w:rPr>
        <w:t>产品质量监督抽查实施细则</w:t>
      </w:r>
    </w:p>
    <w:p>
      <w:pPr>
        <w:snapToGrid w:val="0"/>
        <w:spacing w:line="440" w:lineRule="exact"/>
        <w:ind w:firstLine="359" w:firstLineChars="171"/>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随机数一般可使用随机数表、随机数骰子或扑克牌等方法产生。</w:t>
      </w:r>
    </w:p>
    <w:p>
      <w:pPr>
        <w:snapToGrid w:val="0"/>
        <w:spacing w:line="440" w:lineRule="exact"/>
        <w:rPr>
          <w:rFonts w:hint="eastAsia"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jc w:val="center"/>
        <w:rPr>
          <w:rFonts w:ascii="宋体" w:hAnsi="宋体" w:cs="仿宋_GB2312"/>
          <w:color w:val="000000"/>
          <w:szCs w:val="21"/>
        </w:rPr>
      </w:pPr>
      <w:r>
        <w:rPr>
          <w:rFonts w:hint="eastAsia" w:ascii="宋体" w:hAnsi="宋体" w:cs="仿宋_GB2312"/>
          <w:color w:val="000000"/>
          <w:szCs w:val="21"/>
        </w:rPr>
        <w:t xml:space="preserve">表 </w:t>
      </w:r>
      <w:r>
        <w:rPr>
          <w:rFonts w:hint="eastAsia" w:ascii="宋体" w:hAnsi="宋体" w:cs="仿宋_GB2312"/>
          <w:szCs w:val="21"/>
        </w:rPr>
        <w:t>食品用一次性塑料餐饮具</w:t>
      </w:r>
    </w:p>
    <w:tbl>
      <w:tblPr>
        <w:tblStyle w:val="5"/>
        <w:tblW w:w="7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65"/>
        <w:gridCol w:w="235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09"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序号</w:t>
            </w:r>
          </w:p>
        </w:tc>
        <w:tc>
          <w:tcPr>
            <w:tcW w:w="2465"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检验项目</w:t>
            </w:r>
          </w:p>
        </w:tc>
        <w:tc>
          <w:tcPr>
            <w:tcW w:w="2355"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检验依据</w:t>
            </w:r>
          </w:p>
        </w:tc>
        <w:tc>
          <w:tcPr>
            <w:tcW w:w="2126"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09" w:type="dxa"/>
            <w:vMerge w:val="continue"/>
            <w:noWrap w:val="0"/>
            <w:vAlign w:val="center"/>
          </w:tcPr>
          <w:p>
            <w:pPr>
              <w:snapToGrid w:val="0"/>
              <w:jc w:val="center"/>
              <w:rPr>
                <w:rFonts w:ascii="宋体" w:hAnsi="宋体"/>
                <w:color w:val="000000"/>
                <w:szCs w:val="21"/>
              </w:rPr>
            </w:pPr>
          </w:p>
        </w:tc>
        <w:tc>
          <w:tcPr>
            <w:tcW w:w="2465" w:type="dxa"/>
            <w:vMerge w:val="continue"/>
            <w:noWrap w:val="0"/>
            <w:vAlign w:val="center"/>
          </w:tcPr>
          <w:p>
            <w:pPr>
              <w:snapToGrid w:val="0"/>
              <w:jc w:val="center"/>
              <w:rPr>
                <w:rFonts w:ascii="宋体" w:hAnsi="宋体"/>
                <w:color w:val="000000"/>
                <w:szCs w:val="21"/>
              </w:rPr>
            </w:pPr>
          </w:p>
        </w:tc>
        <w:tc>
          <w:tcPr>
            <w:tcW w:w="2355" w:type="dxa"/>
            <w:vMerge w:val="continue"/>
            <w:noWrap w:val="0"/>
            <w:vAlign w:val="center"/>
          </w:tcPr>
          <w:p>
            <w:pPr>
              <w:snapToGrid w:val="0"/>
              <w:jc w:val="center"/>
              <w:rPr>
                <w:rFonts w:ascii="宋体" w:hAnsi="宋体"/>
                <w:color w:val="000000"/>
                <w:szCs w:val="21"/>
              </w:rPr>
            </w:pPr>
          </w:p>
        </w:tc>
        <w:tc>
          <w:tcPr>
            <w:tcW w:w="2126"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09" w:type="dxa"/>
            <w:noWrap w:val="0"/>
            <w:vAlign w:val="center"/>
          </w:tcPr>
          <w:p>
            <w:pPr>
              <w:autoSpaceDE w:val="0"/>
              <w:autoSpaceDN w:val="0"/>
              <w:jc w:val="center"/>
              <w:rPr>
                <w:rFonts w:ascii="宋体" w:hAnsi="宋体"/>
                <w:color w:val="000000"/>
                <w:szCs w:val="21"/>
              </w:rPr>
            </w:pPr>
            <w:r>
              <w:rPr>
                <w:rFonts w:ascii="宋体" w:hAnsi="宋体"/>
                <w:color w:val="000000"/>
                <w:szCs w:val="21"/>
              </w:rPr>
              <w:t>1</w:t>
            </w:r>
          </w:p>
        </w:tc>
        <w:tc>
          <w:tcPr>
            <w:tcW w:w="2465" w:type="dxa"/>
            <w:noWrap w:val="0"/>
            <w:vAlign w:val="center"/>
          </w:tcPr>
          <w:p>
            <w:pPr>
              <w:adjustRightInd w:val="0"/>
              <w:snapToGrid w:val="0"/>
              <w:jc w:val="center"/>
              <w:rPr>
                <w:rFonts w:cs="宋体"/>
                <w:szCs w:val="21"/>
              </w:rPr>
            </w:pPr>
            <w:r>
              <w:rPr>
                <w:rFonts w:hint="eastAsia" w:cs="宋体"/>
                <w:szCs w:val="21"/>
              </w:rPr>
              <w:t>感官要求</w:t>
            </w:r>
          </w:p>
        </w:tc>
        <w:tc>
          <w:tcPr>
            <w:tcW w:w="2355" w:type="dxa"/>
            <w:noWrap w:val="0"/>
            <w:vAlign w:val="center"/>
          </w:tcPr>
          <w:p>
            <w:pPr>
              <w:adjustRightInd w:val="0"/>
              <w:snapToGrid w:val="0"/>
              <w:jc w:val="center"/>
              <w:rPr>
                <w:rFonts w:cs="宋体"/>
                <w:szCs w:val="21"/>
              </w:rPr>
            </w:pPr>
            <w:r>
              <w:rPr>
                <w:rFonts w:hint="eastAsia" w:cs="宋体"/>
                <w:szCs w:val="21"/>
              </w:rPr>
              <w:t xml:space="preserve">GB 4806.7-2016 </w:t>
            </w:r>
          </w:p>
        </w:tc>
        <w:tc>
          <w:tcPr>
            <w:tcW w:w="2126" w:type="dxa"/>
            <w:noWrap w:val="0"/>
            <w:vAlign w:val="center"/>
          </w:tcPr>
          <w:p>
            <w:pPr>
              <w:adjustRightInd w:val="0"/>
              <w:snapToGrid w:val="0"/>
              <w:jc w:val="center"/>
              <w:rPr>
                <w:rFonts w:cs="宋体"/>
                <w:szCs w:val="21"/>
              </w:rPr>
            </w:pPr>
            <w:r>
              <w:rPr>
                <w:rFonts w:hint="eastAsia" w:cs="宋体"/>
                <w:szCs w:val="21"/>
              </w:rPr>
              <w:t xml:space="preserve">GB 4806.7-2016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ascii="宋体" w:hAnsi="宋体"/>
                <w:color w:val="000000"/>
                <w:szCs w:val="21"/>
              </w:rPr>
              <w:t>2</w:t>
            </w:r>
          </w:p>
        </w:tc>
        <w:tc>
          <w:tcPr>
            <w:tcW w:w="2465" w:type="dxa"/>
            <w:noWrap w:val="0"/>
            <w:vAlign w:val="center"/>
          </w:tcPr>
          <w:p>
            <w:pPr>
              <w:adjustRightInd w:val="0"/>
              <w:snapToGrid w:val="0"/>
              <w:jc w:val="center"/>
              <w:rPr>
                <w:rFonts w:cs="宋体"/>
                <w:szCs w:val="21"/>
              </w:rPr>
            </w:pPr>
            <w:r>
              <w:rPr>
                <w:rFonts w:hint="eastAsia" w:cs="宋体"/>
                <w:szCs w:val="21"/>
              </w:rPr>
              <w:t>总迁移量</w:t>
            </w:r>
          </w:p>
        </w:tc>
        <w:tc>
          <w:tcPr>
            <w:tcW w:w="2355" w:type="dxa"/>
            <w:noWrap w:val="0"/>
            <w:vAlign w:val="center"/>
          </w:tcPr>
          <w:p>
            <w:pPr>
              <w:adjustRightInd w:val="0"/>
              <w:snapToGrid w:val="0"/>
              <w:jc w:val="center"/>
              <w:rPr>
                <w:rFonts w:cs="宋体"/>
                <w:szCs w:val="21"/>
              </w:rPr>
            </w:pPr>
            <w:r>
              <w:rPr>
                <w:rFonts w:hint="eastAsia" w:cs="宋体"/>
                <w:szCs w:val="21"/>
              </w:rPr>
              <w:t>GB 31604.8-2016</w:t>
            </w:r>
          </w:p>
        </w:tc>
        <w:tc>
          <w:tcPr>
            <w:tcW w:w="2126" w:type="dxa"/>
            <w:noWrap w:val="0"/>
            <w:vAlign w:val="center"/>
          </w:tcPr>
          <w:p>
            <w:pPr>
              <w:adjustRightInd w:val="0"/>
              <w:snapToGrid w:val="0"/>
              <w:jc w:val="center"/>
              <w:rPr>
                <w:rFonts w:cs="宋体"/>
                <w:szCs w:val="21"/>
              </w:rPr>
            </w:pPr>
            <w:r>
              <w:rPr>
                <w:rFonts w:hint="eastAsia" w:cs="宋体"/>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ascii="宋体" w:hAnsi="宋体"/>
                <w:color w:val="000000"/>
                <w:szCs w:val="21"/>
              </w:rPr>
              <w:t>3</w:t>
            </w:r>
          </w:p>
        </w:tc>
        <w:tc>
          <w:tcPr>
            <w:tcW w:w="2465" w:type="dxa"/>
            <w:noWrap w:val="0"/>
            <w:vAlign w:val="center"/>
          </w:tcPr>
          <w:p>
            <w:pPr>
              <w:adjustRightInd w:val="0"/>
              <w:snapToGrid w:val="0"/>
              <w:jc w:val="center"/>
              <w:rPr>
                <w:rFonts w:cs="宋体"/>
                <w:szCs w:val="21"/>
              </w:rPr>
            </w:pPr>
            <w:r>
              <w:rPr>
                <w:rFonts w:hint="eastAsia" w:cs="宋体"/>
                <w:szCs w:val="21"/>
              </w:rPr>
              <w:t>高锰酸钾消耗量</w:t>
            </w:r>
          </w:p>
        </w:tc>
        <w:tc>
          <w:tcPr>
            <w:tcW w:w="2355" w:type="dxa"/>
            <w:noWrap w:val="0"/>
            <w:vAlign w:val="center"/>
          </w:tcPr>
          <w:p>
            <w:pPr>
              <w:adjustRightInd w:val="0"/>
              <w:snapToGrid w:val="0"/>
              <w:jc w:val="center"/>
              <w:rPr>
                <w:rFonts w:cs="宋体"/>
                <w:szCs w:val="21"/>
              </w:rPr>
            </w:pPr>
            <w:r>
              <w:rPr>
                <w:rFonts w:hint="eastAsia" w:cs="宋体"/>
                <w:szCs w:val="21"/>
              </w:rPr>
              <w:t xml:space="preserve">GB 31604.2-2016 </w:t>
            </w:r>
          </w:p>
        </w:tc>
        <w:tc>
          <w:tcPr>
            <w:tcW w:w="2126" w:type="dxa"/>
            <w:noWrap w:val="0"/>
            <w:vAlign w:val="center"/>
          </w:tcPr>
          <w:p>
            <w:pPr>
              <w:adjustRightInd w:val="0"/>
              <w:snapToGrid w:val="0"/>
              <w:jc w:val="center"/>
              <w:rPr>
                <w:rFonts w:cs="宋体"/>
                <w:szCs w:val="21"/>
              </w:rPr>
            </w:pPr>
            <w:r>
              <w:rPr>
                <w:rFonts w:hint="eastAsia" w:cs="宋体"/>
                <w:szCs w:val="21"/>
              </w:rPr>
              <w:t xml:space="preserve">GB 31604.2-2016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4</w:t>
            </w:r>
          </w:p>
        </w:tc>
        <w:tc>
          <w:tcPr>
            <w:tcW w:w="2465" w:type="dxa"/>
            <w:noWrap w:val="0"/>
            <w:vAlign w:val="center"/>
          </w:tcPr>
          <w:p>
            <w:pPr>
              <w:adjustRightInd w:val="0"/>
              <w:snapToGrid w:val="0"/>
              <w:jc w:val="center"/>
              <w:rPr>
                <w:rFonts w:cs="宋体"/>
                <w:szCs w:val="21"/>
              </w:rPr>
            </w:pPr>
            <w:r>
              <w:rPr>
                <w:rFonts w:hint="eastAsia" w:cs="宋体"/>
                <w:szCs w:val="21"/>
              </w:rPr>
              <w:t>重金属（以Pb计）</w:t>
            </w:r>
          </w:p>
        </w:tc>
        <w:tc>
          <w:tcPr>
            <w:tcW w:w="2355" w:type="dxa"/>
            <w:noWrap w:val="0"/>
            <w:vAlign w:val="center"/>
          </w:tcPr>
          <w:p>
            <w:pPr>
              <w:adjustRightInd w:val="0"/>
              <w:snapToGrid w:val="0"/>
              <w:jc w:val="center"/>
              <w:rPr>
                <w:rFonts w:cs="宋体"/>
                <w:szCs w:val="21"/>
              </w:rPr>
            </w:pPr>
            <w:r>
              <w:rPr>
                <w:rFonts w:hint="eastAsia" w:cs="宋体"/>
                <w:szCs w:val="21"/>
              </w:rPr>
              <w:t xml:space="preserve">GB 31604.9-2016 </w:t>
            </w:r>
          </w:p>
        </w:tc>
        <w:tc>
          <w:tcPr>
            <w:tcW w:w="2126" w:type="dxa"/>
            <w:noWrap w:val="0"/>
            <w:vAlign w:val="center"/>
          </w:tcPr>
          <w:p>
            <w:pPr>
              <w:adjustRightInd w:val="0"/>
              <w:snapToGrid w:val="0"/>
              <w:jc w:val="center"/>
              <w:rPr>
                <w:rFonts w:cs="宋体"/>
                <w:szCs w:val="21"/>
              </w:rPr>
            </w:pPr>
            <w:r>
              <w:rPr>
                <w:rFonts w:hint="eastAsia" w:cs="宋体"/>
                <w:szCs w:val="21"/>
              </w:rPr>
              <w:t xml:space="preserve">GB 31604.9-2016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5</w:t>
            </w:r>
          </w:p>
        </w:tc>
        <w:tc>
          <w:tcPr>
            <w:tcW w:w="2465" w:type="dxa"/>
            <w:noWrap w:val="0"/>
            <w:vAlign w:val="center"/>
          </w:tcPr>
          <w:p>
            <w:pPr>
              <w:adjustRightInd w:val="0"/>
              <w:snapToGrid w:val="0"/>
              <w:jc w:val="center"/>
              <w:rPr>
                <w:rFonts w:cs="宋体"/>
                <w:szCs w:val="21"/>
              </w:rPr>
            </w:pPr>
            <w:r>
              <w:rPr>
                <w:rFonts w:hint="eastAsia" w:cs="宋体"/>
                <w:szCs w:val="21"/>
              </w:rPr>
              <w:t>脱色试验</w:t>
            </w:r>
            <w:r>
              <w:rPr>
                <w:rFonts w:hint="eastAsia" w:cs="宋体"/>
                <w:szCs w:val="21"/>
                <w:lang w:val="pt-BR"/>
              </w:rPr>
              <w:t>（</w:t>
            </w:r>
            <w:r>
              <w:rPr>
                <w:rFonts w:hint="eastAsia" w:cs="宋体"/>
                <w:szCs w:val="21"/>
              </w:rPr>
              <w:t>限添加了着色剂的产品</w:t>
            </w:r>
            <w:r>
              <w:rPr>
                <w:rFonts w:hint="eastAsia" w:cs="宋体"/>
                <w:szCs w:val="21"/>
                <w:lang w:val="pt-BR"/>
              </w:rPr>
              <w:t>）</w:t>
            </w:r>
          </w:p>
        </w:tc>
        <w:tc>
          <w:tcPr>
            <w:tcW w:w="2355" w:type="dxa"/>
            <w:noWrap w:val="0"/>
            <w:vAlign w:val="center"/>
          </w:tcPr>
          <w:p>
            <w:pPr>
              <w:adjustRightInd w:val="0"/>
              <w:snapToGrid w:val="0"/>
              <w:jc w:val="center"/>
              <w:rPr>
                <w:rFonts w:cs="宋体"/>
                <w:szCs w:val="21"/>
              </w:rPr>
            </w:pPr>
            <w:r>
              <w:rPr>
                <w:rFonts w:hint="eastAsia" w:cs="宋体"/>
                <w:szCs w:val="21"/>
              </w:rPr>
              <w:t xml:space="preserve">GB 31604.7-2016 </w:t>
            </w:r>
          </w:p>
        </w:tc>
        <w:tc>
          <w:tcPr>
            <w:tcW w:w="2126" w:type="dxa"/>
            <w:noWrap w:val="0"/>
            <w:vAlign w:val="center"/>
          </w:tcPr>
          <w:p>
            <w:pPr>
              <w:adjustRightInd w:val="0"/>
              <w:snapToGrid w:val="0"/>
              <w:jc w:val="center"/>
              <w:rPr>
                <w:rFonts w:cs="宋体"/>
                <w:szCs w:val="21"/>
              </w:rPr>
            </w:pPr>
            <w:r>
              <w:rPr>
                <w:rFonts w:hint="eastAsia" w:cs="宋体"/>
                <w:szCs w:val="21"/>
              </w:rPr>
              <w:t xml:space="preserve">GB 31604.7-2016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6</w:t>
            </w:r>
          </w:p>
        </w:tc>
        <w:tc>
          <w:tcPr>
            <w:tcW w:w="2465" w:type="dxa"/>
            <w:noWrap w:val="0"/>
            <w:vAlign w:val="center"/>
          </w:tcPr>
          <w:p>
            <w:pPr>
              <w:adjustRightInd w:val="0"/>
              <w:snapToGrid w:val="0"/>
              <w:jc w:val="center"/>
              <w:rPr>
                <w:rFonts w:cs="宋体"/>
                <w:szCs w:val="21"/>
              </w:rPr>
            </w:pPr>
            <w:r>
              <w:rPr>
                <w:rFonts w:hint="eastAsia" w:cs="宋体"/>
                <w:szCs w:val="21"/>
              </w:rPr>
              <w:t>特定迁移量（以锑计）（限PET材质）</w:t>
            </w:r>
          </w:p>
        </w:tc>
        <w:tc>
          <w:tcPr>
            <w:tcW w:w="2355" w:type="dxa"/>
            <w:noWrap w:val="0"/>
            <w:vAlign w:val="center"/>
          </w:tcPr>
          <w:p>
            <w:pPr>
              <w:adjustRightInd w:val="0"/>
              <w:snapToGrid w:val="0"/>
              <w:jc w:val="center"/>
              <w:rPr>
                <w:rFonts w:cs="宋体"/>
                <w:szCs w:val="21"/>
              </w:rPr>
            </w:pPr>
            <w:r>
              <w:rPr>
                <w:rFonts w:hint="eastAsia" w:cs="宋体"/>
                <w:szCs w:val="21"/>
              </w:rPr>
              <w:t xml:space="preserve">GB 31604.41-2016 </w:t>
            </w:r>
          </w:p>
        </w:tc>
        <w:tc>
          <w:tcPr>
            <w:tcW w:w="2126" w:type="dxa"/>
            <w:noWrap w:val="0"/>
            <w:vAlign w:val="center"/>
          </w:tcPr>
          <w:p>
            <w:pPr>
              <w:adjustRightInd w:val="0"/>
              <w:snapToGrid w:val="0"/>
              <w:jc w:val="center"/>
              <w:rPr>
                <w:rFonts w:cs="宋体"/>
                <w:szCs w:val="21"/>
              </w:rPr>
            </w:pPr>
            <w:r>
              <w:rPr>
                <w:rFonts w:hint="eastAsia" w:cs="宋体"/>
                <w:szCs w:val="21"/>
              </w:rPr>
              <w:t xml:space="preserve">GB 31604.41-2016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7</w:t>
            </w:r>
          </w:p>
        </w:tc>
        <w:tc>
          <w:tcPr>
            <w:tcW w:w="2465" w:type="dxa"/>
            <w:noWrap w:val="0"/>
            <w:vAlign w:val="center"/>
          </w:tcPr>
          <w:p>
            <w:pPr>
              <w:adjustRightInd w:val="0"/>
              <w:snapToGrid w:val="0"/>
              <w:jc w:val="center"/>
              <w:rPr>
                <w:rFonts w:cs="宋体"/>
                <w:szCs w:val="21"/>
              </w:rPr>
            </w:pPr>
            <w:r>
              <w:rPr>
                <w:rFonts w:hint="eastAsia" w:cs="宋体"/>
                <w:szCs w:val="21"/>
              </w:rPr>
              <w:t>特定迁移总量（以己内酰胺计）（限PA材质）</w:t>
            </w:r>
          </w:p>
        </w:tc>
        <w:tc>
          <w:tcPr>
            <w:tcW w:w="2355" w:type="dxa"/>
            <w:noWrap w:val="0"/>
            <w:vAlign w:val="center"/>
          </w:tcPr>
          <w:p>
            <w:pPr>
              <w:adjustRightInd w:val="0"/>
              <w:snapToGrid w:val="0"/>
              <w:jc w:val="center"/>
              <w:rPr>
                <w:rFonts w:cs="宋体"/>
                <w:szCs w:val="21"/>
              </w:rPr>
            </w:pPr>
            <w:r>
              <w:rPr>
                <w:rFonts w:hint="eastAsia" w:cs="宋体"/>
                <w:szCs w:val="21"/>
              </w:rPr>
              <w:t xml:space="preserve">GB 31604.19-2016 </w:t>
            </w:r>
          </w:p>
        </w:tc>
        <w:tc>
          <w:tcPr>
            <w:tcW w:w="2126" w:type="dxa"/>
            <w:noWrap w:val="0"/>
            <w:vAlign w:val="center"/>
          </w:tcPr>
          <w:p>
            <w:pPr>
              <w:adjustRightInd w:val="0"/>
              <w:snapToGrid w:val="0"/>
              <w:jc w:val="center"/>
              <w:rPr>
                <w:rFonts w:cs="宋体"/>
                <w:szCs w:val="21"/>
              </w:rPr>
            </w:pPr>
            <w:r>
              <w:rPr>
                <w:rFonts w:hint="eastAsia" w:cs="宋体"/>
                <w:szCs w:val="21"/>
              </w:rPr>
              <w:t xml:space="preserve">GB 31604.19-2016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8</w:t>
            </w:r>
          </w:p>
        </w:tc>
        <w:tc>
          <w:tcPr>
            <w:tcW w:w="2465" w:type="dxa"/>
            <w:noWrap w:val="0"/>
            <w:vAlign w:val="center"/>
          </w:tcPr>
          <w:p>
            <w:pPr>
              <w:adjustRightInd w:val="0"/>
              <w:snapToGrid w:val="0"/>
              <w:jc w:val="center"/>
              <w:rPr>
                <w:rFonts w:cs="宋体"/>
                <w:szCs w:val="21"/>
              </w:rPr>
            </w:pPr>
            <w:r>
              <w:rPr>
                <w:rFonts w:hint="eastAsia" w:cs="宋体"/>
                <w:szCs w:val="21"/>
              </w:rPr>
              <w:t>氯乙烯特定迁移量（限PVC材质）</w:t>
            </w:r>
          </w:p>
        </w:tc>
        <w:tc>
          <w:tcPr>
            <w:tcW w:w="2355" w:type="dxa"/>
            <w:noWrap w:val="0"/>
            <w:vAlign w:val="center"/>
          </w:tcPr>
          <w:p>
            <w:pPr>
              <w:adjustRightInd w:val="0"/>
              <w:snapToGrid w:val="0"/>
              <w:jc w:val="center"/>
              <w:rPr>
                <w:rFonts w:cs="宋体"/>
                <w:szCs w:val="21"/>
              </w:rPr>
            </w:pPr>
            <w:r>
              <w:rPr>
                <w:rFonts w:hint="eastAsia" w:cs="宋体"/>
                <w:szCs w:val="21"/>
              </w:rPr>
              <w:t xml:space="preserve">GB 31604.31-2016 </w:t>
            </w:r>
          </w:p>
        </w:tc>
        <w:tc>
          <w:tcPr>
            <w:tcW w:w="2126" w:type="dxa"/>
            <w:noWrap w:val="0"/>
            <w:vAlign w:val="center"/>
          </w:tcPr>
          <w:p>
            <w:pPr>
              <w:adjustRightInd w:val="0"/>
              <w:snapToGrid w:val="0"/>
              <w:jc w:val="center"/>
              <w:rPr>
                <w:rFonts w:cs="宋体"/>
                <w:szCs w:val="21"/>
              </w:rPr>
            </w:pPr>
            <w:r>
              <w:rPr>
                <w:rFonts w:hint="eastAsia" w:cs="宋体"/>
                <w:szCs w:val="21"/>
              </w:rPr>
              <w:t xml:space="preserve">GB 31604.31-2016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9</w:t>
            </w:r>
          </w:p>
        </w:tc>
        <w:tc>
          <w:tcPr>
            <w:tcW w:w="2465" w:type="dxa"/>
            <w:noWrap w:val="0"/>
            <w:vAlign w:val="center"/>
          </w:tcPr>
          <w:p>
            <w:pPr>
              <w:adjustRightInd w:val="0"/>
              <w:snapToGrid w:val="0"/>
              <w:jc w:val="center"/>
              <w:rPr>
                <w:rFonts w:cs="宋体"/>
                <w:szCs w:val="21"/>
              </w:rPr>
            </w:pPr>
            <w:r>
              <w:rPr>
                <w:rFonts w:hint="eastAsia" w:cs="宋体"/>
                <w:szCs w:val="21"/>
              </w:rPr>
              <w:t>大肠菌群</w:t>
            </w:r>
          </w:p>
        </w:tc>
        <w:tc>
          <w:tcPr>
            <w:tcW w:w="2355" w:type="dxa"/>
            <w:noWrap w:val="0"/>
            <w:vAlign w:val="center"/>
          </w:tcPr>
          <w:p>
            <w:pPr>
              <w:adjustRightInd w:val="0"/>
              <w:snapToGrid w:val="0"/>
              <w:jc w:val="center"/>
              <w:rPr>
                <w:rFonts w:cs="宋体"/>
                <w:szCs w:val="21"/>
              </w:rPr>
            </w:pPr>
            <w:r>
              <w:rPr>
                <w:rFonts w:hint="eastAsia" w:cs="宋体"/>
                <w:szCs w:val="21"/>
              </w:rPr>
              <w:t xml:space="preserve">GB 14934-2016 </w:t>
            </w:r>
          </w:p>
          <w:p>
            <w:pPr>
              <w:adjustRightInd w:val="0"/>
              <w:snapToGrid w:val="0"/>
              <w:jc w:val="center"/>
              <w:rPr>
                <w:rFonts w:cs="宋体"/>
                <w:szCs w:val="21"/>
              </w:rPr>
            </w:pPr>
            <w:r>
              <w:rPr>
                <w:rFonts w:hint="eastAsia" w:cs="宋体"/>
                <w:szCs w:val="21"/>
              </w:rPr>
              <w:t>附录B</w:t>
            </w:r>
          </w:p>
        </w:tc>
        <w:tc>
          <w:tcPr>
            <w:tcW w:w="2126" w:type="dxa"/>
            <w:noWrap w:val="0"/>
            <w:vAlign w:val="center"/>
          </w:tcPr>
          <w:p>
            <w:pPr>
              <w:adjustRightInd w:val="0"/>
              <w:snapToGrid w:val="0"/>
              <w:jc w:val="center"/>
              <w:rPr>
                <w:rFonts w:cs="宋体"/>
                <w:szCs w:val="21"/>
              </w:rPr>
            </w:pPr>
            <w:r>
              <w:rPr>
                <w:rFonts w:hint="eastAsia" w:cs="宋体"/>
                <w:szCs w:val="21"/>
              </w:rPr>
              <w:t xml:space="preserve">GB 14934-2016 </w:t>
            </w:r>
          </w:p>
          <w:p>
            <w:pPr>
              <w:adjustRightInd w:val="0"/>
              <w:snapToGrid w:val="0"/>
              <w:jc w:val="center"/>
              <w:rPr>
                <w:rFonts w:cs="宋体"/>
                <w:szCs w:val="21"/>
              </w:rPr>
            </w:pPr>
            <w:r>
              <w:rPr>
                <w:rFonts w:hint="eastAsia" w:cs="宋体"/>
                <w:szCs w:val="21"/>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10</w:t>
            </w:r>
          </w:p>
        </w:tc>
        <w:tc>
          <w:tcPr>
            <w:tcW w:w="2465" w:type="dxa"/>
            <w:noWrap w:val="0"/>
            <w:vAlign w:val="center"/>
          </w:tcPr>
          <w:p>
            <w:pPr>
              <w:adjustRightInd w:val="0"/>
              <w:snapToGrid w:val="0"/>
              <w:jc w:val="center"/>
              <w:rPr>
                <w:rFonts w:cs="宋体"/>
                <w:szCs w:val="21"/>
              </w:rPr>
            </w:pPr>
            <w:r>
              <w:rPr>
                <w:rFonts w:hint="eastAsia" w:cs="宋体"/>
                <w:szCs w:val="21"/>
              </w:rPr>
              <w:t>致病菌（沙门氏菌）</w:t>
            </w:r>
          </w:p>
        </w:tc>
        <w:tc>
          <w:tcPr>
            <w:tcW w:w="2355" w:type="dxa"/>
            <w:noWrap w:val="0"/>
            <w:vAlign w:val="center"/>
          </w:tcPr>
          <w:p>
            <w:pPr>
              <w:adjustRightInd w:val="0"/>
              <w:snapToGrid w:val="0"/>
              <w:jc w:val="center"/>
              <w:rPr>
                <w:rFonts w:cs="宋体"/>
                <w:szCs w:val="21"/>
              </w:rPr>
            </w:pPr>
            <w:r>
              <w:rPr>
                <w:rFonts w:hint="eastAsia" w:cs="宋体"/>
                <w:szCs w:val="21"/>
              </w:rPr>
              <w:t xml:space="preserve">GB 14934-2016 </w:t>
            </w:r>
          </w:p>
          <w:p>
            <w:pPr>
              <w:adjustRightInd w:val="0"/>
              <w:snapToGrid w:val="0"/>
              <w:jc w:val="center"/>
              <w:rPr>
                <w:rFonts w:cs="宋体"/>
                <w:szCs w:val="21"/>
              </w:rPr>
            </w:pPr>
            <w:r>
              <w:rPr>
                <w:rFonts w:hint="eastAsia" w:cs="宋体"/>
                <w:szCs w:val="21"/>
              </w:rPr>
              <w:t>附录C</w:t>
            </w:r>
          </w:p>
        </w:tc>
        <w:tc>
          <w:tcPr>
            <w:tcW w:w="2126" w:type="dxa"/>
            <w:noWrap w:val="0"/>
            <w:vAlign w:val="center"/>
          </w:tcPr>
          <w:p>
            <w:pPr>
              <w:adjustRightInd w:val="0"/>
              <w:snapToGrid w:val="0"/>
              <w:jc w:val="center"/>
              <w:rPr>
                <w:rFonts w:cs="宋体"/>
                <w:szCs w:val="21"/>
              </w:rPr>
            </w:pPr>
            <w:r>
              <w:rPr>
                <w:rFonts w:hint="eastAsia" w:cs="宋体"/>
                <w:szCs w:val="21"/>
              </w:rPr>
              <w:t xml:space="preserve">GB 14934-2016 </w:t>
            </w:r>
          </w:p>
          <w:p>
            <w:pPr>
              <w:adjustRightInd w:val="0"/>
              <w:snapToGrid w:val="0"/>
              <w:jc w:val="center"/>
              <w:rPr>
                <w:rFonts w:cs="宋体"/>
                <w:szCs w:val="21"/>
              </w:rPr>
            </w:pPr>
            <w:r>
              <w:rPr>
                <w:rFonts w:hint="eastAsia" w:cs="宋体"/>
                <w:szCs w:val="21"/>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ascii="宋体" w:hAnsi="宋体"/>
                <w:color w:val="000000"/>
                <w:szCs w:val="21"/>
              </w:rPr>
              <w:t>1</w:t>
            </w:r>
            <w:r>
              <w:rPr>
                <w:rFonts w:hint="eastAsia" w:ascii="宋体" w:hAnsi="宋体"/>
                <w:color w:val="000000"/>
                <w:szCs w:val="21"/>
              </w:rPr>
              <w:t>1</w:t>
            </w:r>
          </w:p>
        </w:tc>
        <w:tc>
          <w:tcPr>
            <w:tcW w:w="2465" w:type="dxa"/>
            <w:noWrap w:val="0"/>
            <w:vAlign w:val="center"/>
          </w:tcPr>
          <w:p>
            <w:pPr>
              <w:adjustRightInd w:val="0"/>
              <w:snapToGrid w:val="0"/>
              <w:jc w:val="center"/>
              <w:rPr>
                <w:rFonts w:cs="宋体"/>
                <w:szCs w:val="21"/>
              </w:rPr>
            </w:pPr>
            <w:r>
              <w:rPr>
                <w:rFonts w:hint="eastAsia" w:cs="宋体"/>
                <w:szCs w:val="21"/>
              </w:rPr>
              <w:t>霉菌计数</w:t>
            </w:r>
          </w:p>
        </w:tc>
        <w:tc>
          <w:tcPr>
            <w:tcW w:w="2355" w:type="dxa"/>
            <w:noWrap w:val="0"/>
            <w:vAlign w:val="center"/>
          </w:tcPr>
          <w:p>
            <w:pPr>
              <w:adjustRightInd w:val="0"/>
              <w:snapToGrid w:val="0"/>
              <w:jc w:val="center"/>
              <w:rPr>
                <w:rFonts w:cs="宋体"/>
                <w:szCs w:val="21"/>
              </w:rPr>
            </w:pPr>
            <w:r>
              <w:rPr>
                <w:rFonts w:hint="eastAsia" w:cs="宋体"/>
                <w:szCs w:val="21"/>
              </w:rPr>
              <w:t xml:space="preserve">GB 4789.15-2016 </w:t>
            </w:r>
          </w:p>
        </w:tc>
        <w:tc>
          <w:tcPr>
            <w:tcW w:w="2126" w:type="dxa"/>
            <w:noWrap w:val="0"/>
            <w:vAlign w:val="center"/>
          </w:tcPr>
          <w:p>
            <w:pPr>
              <w:adjustRightInd w:val="0"/>
              <w:snapToGrid w:val="0"/>
              <w:jc w:val="center"/>
              <w:rPr>
                <w:rFonts w:cs="宋体"/>
                <w:szCs w:val="21"/>
              </w:rPr>
            </w:pPr>
            <w:r>
              <w:rPr>
                <w:rFonts w:hint="eastAsia" w:cs="宋体"/>
                <w:szCs w:val="21"/>
              </w:rPr>
              <w:t xml:space="preserve">GB 4789.15-2016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2465" w:type="dxa"/>
            <w:noWrap w:val="0"/>
            <w:vAlign w:val="center"/>
          </w:tcPr>
          <w:p>
            <w:pPr>
              <w:adjustRightInd w:val="0"/>
              <w:snapToGrid w:val="0"/>
              <w:jc w:val="center"/>
              <w:rPr>
                <w:rFonts w:cs="宋体"/>
                <w:szCs w:val="21"/>
              </w:rPr>
            </w:pPr>
            <w:r>
              <w:rPr>
                <w:rFonts w:hint="eastAsia"/>
                <w:szCs w:val="21"/>
              </w:rPr>
              <w:t>特定迁移总量（以对苯二甲酸计）（限PET材质）</w:t>
            </w:r>
          </w:p>
        </w:tc>
        <w:tc>
          <w:tcPr>
            <w:tcW w:w="2355" w:type="dxa"/>
            <w:noWrap w:val="0"/>
            <w:vAlign w:val="center"/>
          </w:tcPr>
          <w:p>
            <w:pPr>
              <w:adjustRightInd w:val="0"/>
              <w:snapToGrid w:val="0"/>
              <w:jc w:val="center"/>
              <w:rPr>
                <w:rFonts w:cs="仿宋"/>
                <w:szCs w:val="21"/>
              </w:rPr>
            </w:pPr>
            <w:r>
              <w:rPr>
                <w:rFonts w:cs="仿宋"/>
                <w:szCs w:val="21"/>
              </w:rPr>
              <w:t>GB 31604.21</w:t>
            </w:r>
            <w:r>
              <w:rPr>
                <w:rFonts w:hint="eastAsia" w:cs="仿宋"/>
                <w:szCs w:val="21"/>
              </w:rPr>
              <w:t>-2016</w:t>
            </w:r>
          </w:p>
        </w:tc>
        <w:tc>
          <w:tcPr>
            <w:tcW w:w="2126" w:type="dxa"/>
            <w:noWrap w:val="0"/>
            <w:vAlign w:val="center"/>
          </w:tcPr>
          <w:p>
            <w:pPr>
              <w:adjustRightInd w:val="0"/>
              <w:snapToGrid w:val="0"/>
              <w:jc w:val="center"/>
              <w:rPr>
                <w:rFonts w:cs="仿宋"/>
                <w:szCs w:val="21"/>
              </w:rPr>
            </w:pPr>
            <w:r>
              <w:rPr>
                <w:rFonts w:cs="仿宋"/>
                <w:szCs w:val="21"/>
              </w:rPr>
              <w:t>GB 31604.21</w:t>
            </w:r>
            <w:r>
              <w:rPr>
                <w:rFonts w:hint="eastAsia" w:cs="仿宋"/>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09" w:type="dxa"/>
            <w:noWrap w:val="0"/>
            <w:vAlign w:val="center"/>
          </w:tcPr>
          <w:p>
            <w:pPr>
              <w:autoSpaceDE w:val="0"/>
              <w:autoSpaceDN w:val="0"/>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2465" w:type="dxa"/>
            <w:noWrap w:val="0"/>
            <w:vAlign w:val="center"/>
          </w:tcPr>
          <w:p>
            <w:pPr>
              <w:adjustRightInd w:val="0"/>
              <w:snapToGrid w:val="0"/>
              <w:jc w:val="center"/>
              <w:rPr>
                <w:rFonts w:cs="宋体"/>
                <w:szCs w:val="21"/>
              </w:rPr>
            </w:pPr>
            <w:r>
              <w:rPr>
                <w:rFonts w:hint="eastAsia"/>
                <w:szCs w:val="21"/>
              </w:rPr>
              <w:t>特定迁移总量（以乙二醇计）（限PET材质）</w:t>
            </w:r>
          </w:p>
        </w:tc>
        <w:tc>
          <w:tcPr>
            <w:tcW w:w="2355" w:type="dxa"/>
            <w:noWrap w:val="0"/>
            <w:vAlign w:val="center"/>
          </w:tcPr>
          <w:p>
            <w:pPr>
              <w:adjustRightInd w:val="0"/>
              <w:snapToGrid w:val="0"/>
              <w:jc w:val="center"/>
              <w:rPr>
                <w:rFonts w:cs="仿宋"/>
                <w:szCs w:val="21"/>
              </w:rPr>
            </w:pPr>
            <w:r>
              <w:rPr>
                <w:rFonts w:cs="仿宋"/>
                <w:szCs w:val="21"/>
              </w:rPr>
              <w:t>GB 31604.44</w:t>
            </w:r>
            <w:r>
              <w:rPr>
                <w:rFonts w:hint="eastAsia" w:cs="仿宋"/>
                <w:szCs w:val="21"/>
              </w:rPr>
              <w:t>-2016</w:t>
            </w:r>
          </w:p>
        </w:tc>
        <w:tc>
          <w:tcPr>
            <w:tcW w:w="2126" w:type="dxa"/>
            <w:noWrap w:val="0"/>
            <w:vAlign w:val="center"/>
          </w:tcPr>
          <w:p>
            <w:pPr>
              <w:adjustRightInd w:val="0"/>
              <w:snapToGrid w:val="0"/>
              <w:jc w:val="center"/>
              <w:rPr>
                <w:rFonts w:cs="仿宋"/>
                <w:szCs w:val="21"/>
              </w:rPr>
            </w:pPr>
            <w:r>
              <w:rPr>
                <w:rFonts w:cs="仿宋"/>
                <w:szCs w:val="21"/>
              </w:rPr>
              <w:t>GB 31604.44</w:t>
            </w:r>
            <w:r>
              <w:rPr>
                <w:rFonts w:hint="eastAsia" w:cs="仿宋"/>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14</w:t>
            </w:r>
          </w:p>
        </w:tc>
        <w:tc>
          <w:tcPr>
            <w:tcW w:w="2465" w:type="dxa"/>
            <w:noWrap w:val="0"/>
            <w:vAlign w:val="center"/>
          </w:tcPr>
          <w:p>
            <w:pPr>
              <w:adjustRightInd w:val="0"/>
              <w:snapToGrid w:val="0"/>
              <w:jc w:val="center"/>
              <w:rPr>
                <w:rFonts w:hint="eastAsia" w:cs="宋体"/>
                <w:szCs w:val="21"/>
              </w:rPr>
            </w:pPr>
            <w:r>
              <w:rPr>
                <w:rFonts w:hint="eastAsia" w:cs="宋体"/>
                <w:szCs w:val="21"/>
              </w:rPr>
              <w:t>1,3-丁二烯特定迁移量（限有丁二烯单体的聚合物）</w:t>
            </w:r>
          </w:p>
          <w:p>
            <w:pPr>
              <w:adjustRightInd w:val="0"/>
              <w:snapToGrid w:val="0"/>
              <w:jc w:val="center"/>
              <w:rPr>
                <w:rFonts w:hint="eastAsia" w:cs="宋体"/>
                <w:szCs w:val="21"/>
              </w:rPr>
            </w:pPr>
          </w:p>
        </w:tc>
        <w:tc>
          <w:tcPr>
            <w:tcW w:w="2355" w:type="dxa"/>
            <w:noWrap w:val="0"/>
            <w:vAlign w:val="center"/>
          </w:tcPr>
          <w:p>
            <w:pPr>
              <w:adjustRightInd w:val="0"/>
              <w:snapToGrid w:val="0"/>
              <w:jc w:val="center"/>
              <w:rPr>
                <w:rFonts w:cs="仿宋"/>
                <w:szCs w:val="21"/>
              </w:rPr>
            </w:pPr>
            <w:r>
              <w:rPr>
                <w:rFonts w:cs="仿宋"/>
                <w:szCs w:val="21"/>
              </w:rPr>
              <w:t>GB 31604.12</w:t>
            </w:r>
            <w:r>
              <w:rPr>
                <w:rFonts w:hint="eastAsia" w:cs="仿宋"/>
                <w:szCs w:val="21"/>
              </w:rPr>
              <w:t>-2016</w:t>
            </w:r>
          </w:p>
        </w:tc>
        <w:tc>
          <w:tcPr>
            <w:tcW w:w="2126" w:type="dxa"/>
            <w:noWrap w:val="0"/>
            <w:vAlign w:val="center"/>
          </w:tcPr>
          <w:p>
            <w:pPr>
              <w:adjustRightInd w:val="0"/>
              <w:snapToGrid w:val="0"/>
              <w:jc w:val="center"/>
              <w:rPr>
                <w:rFonts w:cs="仿宋"/>
                <w:szCs w:val="21"/>
              </w:rPr>
            </w:pPr>
            <w:r>
              <w:rPr>
                <w:rFonts w:cs="仿宋"/>
                <w:szCs w:val="21"/>
              </w:rPr>
              <w:t>GB 31604.12</w:t>
            </w:r>
            <w:r>
              <w:rPr>
                <w:rFonts w:hint="eastAsia" w:cs="仿宋"/>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hint="eastAsia" w:ascii="宋体" w:hAnsi="宋体"/>
                <w:color w:val="000000"/>
                <w:szCs w:val="21"/>
              </w:rPr>
            </w:pPr>
            <w:r>
              <w:rPr>
                <w:rFonts w:hint="eastAsia" w:ascii="宋体" w:hAnsi="宋体"/>
                <w:color w:val="000000"/>
                <w:szCs w:val="21"/>
              </w:rPr>
              <w:t>15</w:t>
            </w:r>
          </w:p>
        </w:tc>
        <w:tc>
          <w:tcPr>
            <w:tcW w:w="2465" w:type="dxa"/>
            <w:noWrap w:val="0"/>
            <w:vAlign w:val="center"/>
          </w:tcPr>
          <w:p>
            <w:pPr>
              <w:adjustRightInd w:val="0"/>
              <w:snapToGrid w:val="0"/>
              <w:jc w:val="center"/>
              <w:rPr>
                <w:rFonts w:cs="宋体"/>
                <w:szCs w:val="21"/>
              </w:rPr>
            </w:pPr>
            <w:r>
              <w:rPr>
                <w:rFonts w:hint="eastAsia" w:cs="宋体"/>
                <w:szCs w:val="21"/>
              </w:rPr>
              <w:t>苯乙烯和乙苯残留量（限PS材质)</w:t>
            </w:r>
          </w:p>
        </w:tc>
        <w:tc>
          <w:tcPr>
            <w:tcW w:w="2355" w:type="dxa"/>
            <w:noWrap w:val="0"/>
            <w:vAlign w:val="center"/>
          </w:tcPr>
          <w:p>
            <w:pPr>
              <w:adjustRightInd w:val="0"/>
              <w:snapToGrid w:val="0"/>
              <w:jc w:val="center"/>
              <w:rPr>
                <w:rFonts w:cs="仿宋"/>
                <w:szCs w:val="21"/>
              </w:rPr>
            </w:pPr>
            <w:r>
              <w:rPr>
                <w:rFonts w:cs="仿宋"/>
                <w:szCs w:val="21"/>
              </w:rPr>
              <w:t>GB 31604.16</w:t>
            </w:r>
            <w:r>
              <w:rPr>
                <w:rFonts w:hint="eastAsia" w:cs="仿宋"/>
                <w:szCs w:val="21"/>
              </w:rPr>
              <w:t>-2016</w:t>
            </w:r>
          </w:p>
        </w:tc>
        <w:tc>
          <w:tcPr>
            <w:tcW w:w="2126" w:type="dxa"/>
            <w:noWrap w:val="0"/>
            <w:vAlign w:val="center"/>
          </w:tcPr>
          <w:p>
            <w:pPr>
              <w:adjustRightInd w:val="0"/>
              <w:snapToGrid w:val="0"/>
              <w:jc w:val="center"/>
              <w:rPr>
                <w:rFonts w:cs="仿宋"/>
                <w:szCs w:val="21"/>
              </w:rPr>
            </w:pPr>
            <w:r>
              <w:rPr>
                <w:rFonts w:cs="仿宋"/>
                <w:szCs w:val="21"/>
              </w:rPr>
              <w:t>GB 31604.16</w:t>
            </w:r>
            <w:r>
              <w:rPr>
                <w:rFonts w:hint="eastAsia" w:cs="仿宋"/>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noWrap w:val="0"/>
            <w:vAlign w:val="center"/>
          </w:tcPr>
          <w:p>
            <w:pPr>
              <w:autoSpaceDE w:val="0"/>
              <w:autoSpaceDN w:val="0"/>
              <w:jc w:val="center"/>
              <w:rPr>
                <w:rFonts w:hint="eastAsia" w:ascii="宋体" w:hAnsi="宋体"/>
                <w:color w:val="000000"/>
                <w:szCs w:val="21"/>
              </w:rPr>
            </w:pPr>
            <w:r>
              <w:rPr>
                <w:rFonts w:hint="eastAsia" w:ascii="宋体" w:hAnsi="宋体"/>
                <w:color w:val="000000"/>
                <w:szCs w:val="21"/>
              </w:rPr>
              <w:t>16</w:t>
            </w:r>
          </w:p>
        </w:tc>
        <w:tc>
          <w:tcPr>
            <w:tcW w:w="2465" w:type="dxa"/>
            <w:noWrap w:val="0"/>
            <w:vAlign w:val="center"/>
          </w:tcPr>
          <w:p>
            <w:pPr>
              <w:adjustRightInd w:val="0"/>
              <w:snapToGrid w:val="0"/>
              <w:jc w:val="center"/>
              <w:rPr>
                <w:rFonts w:hint="eastAsia" w:cs="仿宋_GB2312"/>
                <w:szCs w:val="21"/>
              </w:rPr>
            </w:pPr>
            <w:r>
              <w:rPr>
                <w:rFonts w:hint="eastAsia" w:cs="仿宋_GB2312"/>
                <w:szCs w:val="21"/>
              </w:rPr>
              <w:t>邻苯类增塑剂特定迁移量（限PVC材质）</w:t>
            </w:r>
          </w:p>
        </w:tc>
        <w:tc>
          <w:tcPr>
            <w:tcW w:w="2355" w:type="dxa"/>
            <w:noWrap w:val="0"/>
            <w:vAlign w:val="center"/>
          </w:tcPr>
          <w:p>
            <w:pPr>
              <w:adjustRightInd w:val="0"/>
              <w:snapToGrid w:val="0"/>
              <w:jc w:val="center"/>
              <w:rPr>
                <w:rFonts w:hint="eastAsia" w:cs="仿宋_GB2312"/>
                <w:szCs w:val="21"/>
              </w:rPr>
            </w:pPr>
            <w:r>
              <w:rPr>
                <w:rFonts w:hint="eastAsia" w:cs="仿宋_GB2312"/>
                <w:szCs w:val="21"/>
              </w:rPr>
              <w:t>GB 31604.30-2016</w:t>
            </w:r>
          </w:p>
        </w:tc>
        <w:tc>
          <w:tcPr>
            <w:tcW w:w="2126" w:type="dxa"/>
            <w:noWrap w:val="0"/>
            <w:vAlign w:val="center"/>
          </w:tcPr>
          <w:p>
            <w:pPr>
              <w:adjustRightInd w:val="0"/>
              <w:snapToGrid w:val="0"/>
              <w:jc w:val="center"/>
              <w:rPr>
                <w:rFonts w:hint="eastAsia" w:cs="仿宋_GB2312"/>
                <w:szCs w:val="21"/>
              </w:rPr>
            </w:pPr>
            <w:r>
              <w:rPr>
                <w:rFonts w:hint="eastAsia" w:cs="仿宋_GB2312"/>
                <w:szCs w:val="21"/>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shd w:val="clear" w:color="auto" w:fill="auto"/>
            <w:noWrap w:val="0"/>
            <w:vAlign w:val="center"/>
          </w:tcPr>
          <w:p>
            <w:pPr>
              <w:autoSpaceDE w:val="0"/>
              <w:autoSpaceDN w:val="0"/>
              <w:jc w:val="center"/>
              <w:rPr>
                <w:rFonts w:ascii="宋体" w:hAnsi="宋体"/>
                <w:color w:val="000000"/>
                <w:szCs w:val="21"/>
              </w:rPr>
            </w:pPr>
            <w:r>
              <w:rPr>
                <w:rFonts w:hint="eastAsia" w:ascii="宋体" w:hAnsi="宋体"/>
                <w:color w:val="000000"/>
                <w:szCs w:val="21"/>
              </w:rPr>
              <w:t>备注</w:t>
            </w:r>
          </w:p>
        </w:tc>
        <w:tc>
          <w:tcPr>
            <w:tcW w:w="6945" w:type="dxa"/>
            <w:gridSpan w:val="3"/>
            <w:shd w:val="clear" w:color="auto" w:fill="auto"/>
            <w:noWrap w:val="0"/>
            <w:vAlign w:val="top"/>
          </w:tcPr>
          <w:p>
            <w:pPr>
              <w:widowControl/>
              <w:jc w:val="left"/>
              <w:rPr>
                <w:rFonts w:ascii="宋体" w:hAnsi="宋体" w:cs="Arial Unicode MS"/>
                <w:color w:val="000000"/>
                <w:szCs w:val="21"/>
              </w:rPr>
            </w:pPr>
            <w:r>
              <w:rPr>
                <w:rFonts w:hint="eastAsia" w:ascii="宋体" w:hAnsi="宋体" w:cs="Arial Unicode MS"/>
                <w:color w:val="000000"/>
                <w:szCs w:val="21"/>
              </w:rPr>
              <w:t>注：本表中特定物质迁移限量或残留量项目应根据所生产产品的具体材质品种在GB4806.6-2016标准及相关公告中的具体要求进行，如针对具体材质品种无该项要求，则不需要检验。</w:t>
            </w:r>
          </w:p>
        </w:tc>
      </w:tr>
    </w:tbl>
    <w:p>
      <w:pPr>
        <w:adjustRightInd w:val="0"/>
        <w:snapToGrid w:val="0"/>
        <w:spacing w:line="440" w:lineRule="exact"/>
        <w:ind w:firstLine="420" w:firstLineChars="200"/>
        <w:rPr>
          <w:color w:val="000000"/>
          <w:szCs w:val="21"/>
        </w:rPr>
      </w:pP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szCs w:val="21"/>
        </w:rPr>
      </w:pPr>
      <w:r>
        <w:rPr>
          <w:rFonts w:hint="eastAsia" w:ascii="宋体" w:hAnsi="宋体"/>
          <w:szCs w:val="21"/>
        </w:rPr>
        <w:t>3.1依据标准</w:t>
      </w:r>
    </w:p>
    <w:p>
      <w:pPr>
        <w:adjustRightInd w:val="0"/>
        <w:snapToGrid w:val="0"/>
        <w:spacing w:line="440" w:lineRule="exact"/>
        <w:ind w:firstLine="420" w:firstLineChars="200"/>
        <w:rPr>
          <w:rFonts w:cs="宋体"/>
          <w:szCs w:val="21"/>
        </w:rPr>
      </w:pPr>
      <w:r>
        <w:rPr>
          <w:rFonts w:hint="eastAsia" w:cs="宋体"/>
          <w:szCs w:val="21"/>
        </w:rPr>
        <w:t>GB 4806.6-2016 食品安全国家标准 食品接触用塑料树脂</w:t>
      </w:r>
    </w:p>
    <w:p>
      <w:pPr>
        <w:adjustRightInd w:val="0"/>
        <w:snapToGrid w:val="0"/>
        <w:spacing w:line="440" w:lineRule="exact"/>
        <w:ind w:firstLine="420" w:firstLineChars="200"/>
        <w:rPr>
          <w:rFonts w:cs="宋体"/>
          <w:szCs w:val="21"/>
        </w:rPr>
      </w:pPr>
      <w:r>
        <w:rPr>
          <w:rFonts w:hint="eastAsia" w:cs="宋体"/>
          <w:szCs w:val="21"/>
        </w:rPr>
        <w:t>GB 4806.7-2016 食品安全国家标准 食品接触用塑料材料及制品</w:t>
      </w:r>
    </w:p>
    <w:p>
      <w:pPr>
        <w:adjustRightInd w:val="0"/>
        <w:snapToGrid w:val="0"/>
        <w:spacing w:line="440" w:lineRule="exact"/>
        <w:ind w:firstLine="420" w:firstLineChars="200"/>
        <w:rPr>
          <w:rFonts w:hint="eastAsia" w:cs="宋体"/>
          <w:szCs w:val="21"/>
        </w:rPr>
      </w:pPr>
      <w:r>
        <w:rPr>
          <w:rFonts w:hint="eastAsia" w:cs="宋体"/>
          <w:szCs w:val="21"/>
        </w:rPr>
        <w:t>GB 9685-2016 食品安全国家标准 食品接触材料及制品用添加剂使用标准</w:t>
      </w:r>
    </w:p>
    <w:p>
      <w:pPr>
        <w:adjustRightInd w:val="0"/>
        <w:snapToGrid w:val="0"/>
        <w:spacing w:line="440" w:lineRule="exact"/>
        <w:ind w:firstLine="420" w:firstLineChars="200"/>
        <w:rPr>
          <w:rFonts w:cs="宋体"/>
          <w:szCs w:val="21"/>
        </w:rPr>
      </w:pPr>
      <w:r>
        <w:rPr>
          <w:rFonts w:hint="eastAsia" w:cs="宋体"/>
          <w:szCs w:val="21"/>
        </w:rPr>
        <w:t>GB 14934-2016 食品安全国家标准 消毒餐(饮)具</w:t>
      </w:r>
    </w:p>
    <w:p>
      <w:pPr>
        <w:adjustRightInd w:val="0"/>
        <w:snapToGrid w:val="0"/>
        <w:spacing w:line="440" w:lineRule="exact"/>
        <w:ind w:firstLine="420" w:firstLineChars="200"/>
        <w:rPr>
          <w:rFonts w:cs="宋体"/>
          <w:szCs w:val="21"/>
        </w:rPr>
      </w:pPr>
      <w:r>
        <w:fldChar w:fldCharType="begin"/>
      </w:r>
      <w:r>
        <w:instrText xml:space="preserve"> HYPERLINK "http://www.bzsb.info/javascript:void(0);" </w:instrText>
      </w:r>
      <w:r>
        <w:fldChar w:fldCharType="separate"/>
      </w:r>
      <w:r>
        <w:rPr>
          <w:rFonts w:hint="eastAsia" w:cs="宋体"/>
          <w:szCs w:val="21"/>
        </w:rPr>
        <w:t>GB/T 18006.1-2009</w:t>
      </w:r>
      <w:r>
        <w:rPr>
          <w:rFonts w:hint="eastAsia" w:cs="宋体"/>
          <w:szCs w:val="21"/>
        </w:rPr>
        <w:fldChar w:fldCharType="end"/>
      </w:r>
      <w:r>
        <w:rPr>
          <w:rFonts w:hint="eastAsia"/>
        </w:rPr>
        <w:t xml:space="preserve"> </w:t>
      </w:r>
      <w:r>
        <w:rPr>
          <w:rFonts w:hint="eastAsia" w:cs="宋体"/>
          <w:szCs w:val="21"/>
        </w:rPr>
        <w:t>塑料一次性餐饮具通用技术要求</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经备案现行有效的企业标准及产品明示质量要求。</w:t>
      </w:r>
    </w:p>
    <w:p>
      <w:pPr>
        <w:snapToGrid w:val="0"/>
        <w:spacing w:line="440" w:lineRule="exact"/>
        <w:rPr>
          <w:rFonts w:ascii="宋体" w:hAnsi="宋体"/>
          <w:szCs w:val="21"/>
        </w:rPr>
      </w:pPr>
      <w:r>
        <w:rPr>
          <w:rFonts w:hint="eastAsia" w:ascii="宋体" w:hAnsi="宋体"/>
          <w:szCs w:val="21"/>
        </w:rPr>
        <w:t>3.2判定原则</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经检验，检验项目全部合格，判定为被抽查产品未发现不合格；检验项目中任一项或一项以上不合格，判定为被抽查产品不合格。（应以产品标准为依据）</w:t>
      </w:r>
    </w:p>
    <w:p>
      <w:pPr>
        <w:snapToGrid w:val="0"/>
        <w:spacing w:line="440" w:lineRule="exact"/>
        <w:ind w:firstLine="420" w:firstLineChars="200"/>
        <w:rPr>
          <w:rFonts w:ascii="宋体" w:hAnsi="宋体"/>
          <w:color w:val="000000"/>
          <w:szCs w:val="21"/>
        </w:rPr>
      </w:pPr>
      <w:r>
        <w:rPr>
          <w:rFonts w:ascii="宋体" w:hAnsi="宋体"/>
          <w:color w:val="000000"/>
          <w:szCs w:val="21"/>
        </w:rPr>
        <w:t>若被检产品明示的质量要求高于本方案中检验项目依据的标准要求时，应按被检产品明示的质量要求判定。</w:t>
      </w:r>
    </w:p>
    <w:p>
      <w:pPr>
        <w:snapToGrid w:val="0"/>
        <w:spacing w:line="440" w:lineRule="exact"/>
        <w:ind w:firstLine="420" w:firstLineChars="200"/>
        <w:rPr>
          <w:rFonts w:ascii="宋体" w:hAnsi="宋体"/>
          <w:color w:val="000000"/>
          <w:szCs w:val="21"/>
        </w:rPr>
      </w:pPr>
      <w:r>
        <w:rPr>
          <w:rFonts w:ascii="宋体" w:hAnsi="宋体"/>
          <w:color w:val="000000"/>
          <w:szCs w:val="21"/>
        </w:rPr>
        <w:t>若被检产品明示的质量要求低于本方案中检验项目依据的国家或行业强制性标准要求时，应按国家或行业强制性标准要求判定</w:t>
      </w:r>
      <w:r>
        <w:rPr>
          <w:rFonts w:hint="eastAsia" w:ascii="宋体" w:hAnsi="宋体"/>
          <w:color w:val="000000"/>
          <w:szCs w:val="21"/>
        </w:rPr>
        <w:t>。</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hAnsi="宋体"/>
          <w:color w:val="000000"/>
          <w:szCs w:val="21"/>
        </w:rPr>
      </w:pPr>
      <w:r>
        <w:rPr>
          <w:rFonts w:ascii="宋体" w:hAnsi="宋体"/>
          <w:color w:val="000000"/>
          <w:szCs w:val="21"/>
        </w:rPr>
        <w:t>若被检产品明示的质量要求缺少本</w:t>
      </w:r>
      <w:r>
        <w:rPr>
          <w:rFonts w:hint="eastAsia" w:ascii="宋体" w:hAnsi="宋体"/>
          <w:color w:val="000000"/>
          <w:szCs w:val="21"/>
        </w:rPr>
        <w:t>细则</w:t>
      </w:r>
      <w:r>
        <w:rPr>
          <w:rFonts w:ascii="宋体" w:hAnsi="宋体"/>
          <w:color w:val="000000"/>
          <w:szCs w:val="21"/>
        </w:rPr>
        <w:t>中检验项目依据的强制性标准要求时，应按照强制性标准要求判定。</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ind w:firstLine="420" w:firstLineChars="200"/>
        <w:rPr>
          <w:rFonts w:ascii="宋体" w:hAnsi="宋体"/>
          <w:color w:val="000000"/>
          <w:szCs w:val="21"/>
        </w:rPr>
      </w:pPr>
      <w:r>
        <w:rPr>
          <w:color w:val="000000"/>
          <w:szCs w:val="21"/>
        </w:rPr>
        <w:t>依据卫健委“卫监督发[2005]515号”《健康相关产品国家卫生监督抽检规定》第十九条“产品微生物指标超标的不予复检” 及GB 4789.1-2016 《食品安全国家标准 食品微生物学检验 总则》第7.3条“检验结果报告后，剩余样品和同批产品不进行微生物项目的复检”的规定，微生物（大肠菌群、沙门氏菌、霉菌）项目不合格不复检。</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s>
  <w:rsids>
    <w:rsidRoot w:val="00172A27"/>
    <w:rsid w:val="00051A44"/>
    <w:rsid w:val="00081CBD"/>
    <w:rsid w:val="000976DE"/>
    <w:rsid w:val="000F4CDA"/>
    <w:rsid w:val="00116BD5"/>
    <w:rsid w:val="001809DD"/>
    <w:rsid w:val="00232530"/>
    <w:rsid w:val="00253624"/>
    <w:rsid w:val="002D7F8A"/>
    <w:rsid w:val="002E0D1D"/>
    <w:rsid w:val="00303A45"/>
    <w:rsid w:val="003203A3"/>
    <w:rsid w:val="003C388C"/>
    <w:rsid w:val="003E61BF"/>
    <w:rsid w:val="00400A74"/>
    <w:rsid w:val="00445E86"/>
    <w:rsid w:val="0046344B"/>
    <w:rsid w:val="00474E04"/>
    <w:rsid w:val="004D0C5A"/>
    <w:rsid w:val="004E1396"/>
    <w:rsid w:val="00523168"/>
    <w:rsid w:val="00563EBC"/>
    <w:rsid w:val="00603AE1"/>
    <w:rsid w:val="00624FCE"/>
    <w:rsid w:val="006E1171"/>
    <w:rsid w:val="006F0971"/>
    <w:rsid w:val="0072334C"/>
    <w:rsid w:val="00895BEA"/>
    <w:rsid w:val="008A3497"/>
    <w:rsid w:val="00917A54"/>
    <w:rsid w:val="00957B9E"/>
    <w:rsid w:val="00A43553"/>
    <w:rsid w:val="00A92AC2"/>
    <w:rsid w:val="00AC5391"/>
    <w:rsid w:val="00BF148D"/>
    <w:rsid w:val="00BF2B8C"/>
    <w:rsid w:val="00C07030"/>
    <w:rsid w:val="00C26000"/>
    <w:rsid w:val="00C26074"/>
    <w:rsid w:val="00C83B0A"/>
    <w:rsid w:val="00CE1E0C"/>
    <w:rsid w:val="00CE277E"/>
    <w:rsid w:val="00D26CBA"/>
    <w:rsid w:val="00D56867"/>
    <w:rsid w:val="00E02A7F"/>
    <w:rsid w:val="00E07880"/>
    <w:rsid w:val="00E108A9"/>
    <w:rsid w:val="00E82621"/>
    <w:rsid w:val="00E9283A"/>
    <w:rsid w:val="00F77C9A"/>
    <w:rsid w:val="00FB576C"/>
    <w:rsid w:val="00FD2AA6"/>
    <w:rsid w:val="00FE7E8A"/>
    <w:rsid w:val="044B629F"/>
    <w:rsid w:val="0A5834C4"/>
    <w:rsid w:val="0C0D01E8"/>
    <w:rsid w:val="0E4F246E"/>
    <w:rsid w:val="133366CB"/>
    <w:rsid w:val="28192C81"/>
    <w:rsid w:val="28A02F8A"/>
    <w:rsid w:val="359E2EC7"/>
    <w:rsid w:val="4B2C0568"/>
    <w:rsid w:val="4CF24CCA"/>
    <w:rsid w:val="4D6E78A5"/>
    <w:rsid w:val="53B80BC9"/>
    <w:rsid w:val="54580F60"/>
    <w:rsid w:val="5D4F06E8"/>
    <w:rsid w:val="60907246"/>
    <w:rsid w:val="67484FF9"/>
    <w:rsid w:val="69D40478"/>
    <w:rsid w:val="74E866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customStyle="1" w:styleId="8">
    <w:name w:val="批注框文本 Char"/>
    <w:link w:val="2"/>
    <w:semiHidden/>
    <w:uiPriority w:val="99"/>
    <w:rPr>
      <w:kern w:val="2"/>
      <w:sz w:val="18"/>
      <w:szCs w:val="18"/>
    </w:rPr>
  </w:style>
  <w:style w:type="character" w:customStyle="1" w:styleId="9">
    <w:name w:val="页脚 Char"/>
    <w:link w:val="3"/>
    <w:autoRedefine/>
    <w:qFormat/>
    <w:uiPriority w:val="99"/>
    <w:rPr>
      <w:kern w:val="2"/>
      <w:sz w:val="18"/>
      <w:szCs w:val="18"/>
    </w:rPr>
  </w:style>
  <w:style w:type="character" w:customStyle="1" w:styleId="10">
    <w:name w:val="页眉 Char"/>
    <w:link w:val="4"/>
    <w:autoRedefine/>
    <w:semiHidden/>
    <w:qFormat/>
    <w:uiPriority w:val="99"/>
    <w:rPr>
      <w:kern w:val="2"/>
      <w:sz w:val="18"/>
      <w:szCs w:val="18"/>
    </w:rPr>
  </w:style>
  <w:style w:type="paragraph" w:customStyle="1" w:styleId="11">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274</Words>
  <Characters>1567</Characters>
  <Lines>13</Lines>
  <Paragraphs>3</Paragraphs>
  <TotalTime>0</TotalTime>
  <ScaleCrop>false</ScaleCrop>
  <LinksUpToDate>false</LinksUpToDate>
  <CharactersWithSpaces>1838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A米修</cp:lastModifiedBy>
  <cp:lastPrinted>2019-12-05T07:53:00Z</cp:lastPrinted>
  <dcterms:modified xsi:type="dcterms:W3CDTF">2024-04-22T07:29:00Z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5C8D64D2944F4F66BF7A6A1FE206AC3A_13</vt:lpwstr>
  </property>
</Properties>
</file>