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bookmarkStart w:id="0" w:name="_Toc2309"/>
      <w:bookmarkStart w:id="1" w:name="_Toc7609"/>
      <w:bookmarkStart w:id="2" w:name="_Toc11287"/>
      <w:bookmarkStart w:id="3" w:name="_Toc13490"/>
      <w:bookmarkStart w:id="4" w:name="_Toc1238"/>
      <w:bookmarkStart w:id="5" w:name="_Toc2263"/>
      <w:bookmarkStart w:id="6" w:name="_Toc19812"/>
      <w:bookmarkStart w:id="7" w:name="_Toc16239"/>
      <w:r>
        <w:rPr>
          <w:rFonts w:hint="eastAsia" w:ascii="宋体" w:hAnsi="宋体" w:eastAsia="宋体" w:cs="宋体"/>
          <w:b/>
          <w:bCs/>
          <w:color w:val="000000"/>
          <w:kern w:val="0"/>
          <w:sz w:val="52"/>
          <w:szCs w:val="52"/>
          <w:lang w:val="en-US" w:eastAsia="zh-CN" w:bidi="ar"/>
        </w:rPr>
        <w:t>绥</w:t>
      </w:r>
      <w:r>
        <w:rPr>
          <w:rFonts w:hint="eastAsia" w:asciiTheme="majorEastAsia" w:hAnsiTheme="majorEastAsia" w:eastAsiaTheme="majorEastAsia" w:cstheme="majorEastAsia"/>
          <w:b/>
          <w:bCs/>
          <w:color w:val="000000"/>
          <w:sz w:val="52"/>
          <w:szCs w:val="52"/>
          <w:lang w:val="en-US" w:eastAsia="zh-CN"/>
        </w:rPr>
        <w:t>德县融媒体中心广播电视播出系统项目绩效评价报告</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Theme="majorEastAsia" w:hAnsiTheme="majorEastAsia" w:eastAsiaTheme="majorEastAsia" w:cstheme="majorEastAsia"/>
          <w:b/>
          <w:bCs/>
          <w:color w:val="000000"/>
          <w:sz w:val="52"/>
          <w:szCs w:val="52"/>
          <w:lang w:val="en-US" w:eastAsia="zh-CN"/>
        </w:rPr>
      </w:pPr>
      <w:r>
        <w:rPr>
          <w:rFonts w:hint="eastAsia" w:asciiTheme="majorEastAsia" w:hAnsiTheme="majorEastAsia" w:eastAsiaTheme="majorEastAsia" w:cstheme="majorEastAsia"/>
          <w:b/>
          <w:bCs/>
          <w:color w:val="000000"/>
          <w:sz w:val="52"/>
          <w:szCs w:val="52"/>
          <w:lang w:val="en-US" w:eastAsia="zh-CN"/>
        </w:rPr>
        <w:t>（2022年度）</w:t>
      </w:r>
    </w:p>
    <w:p>
      <w:pPr>
        <w:spacing w:line="800" w:lineRule="exact"/>
        <w:ind w:left="0" w:leftChars="0" w:firstLine="0" w:firstLineChars="0"/>
        <w:jc w:val="center"/>
        <w:outlineLvl w:val="0"/>
        <w:rPr>
          <w:rFonts w:hint="eastAsia" w:asciiTheme="majorEastAsia" w:hAnsiTheme="majorEastAsia" w:eastAsiaTheme="majorEastAsia" w:cstheme="majorEastAsia"/>
          <w:b/>
          <w:bCs/>
          <w:color w:val="000000"/>
          <w:sz w:val="52"/>
          <w:szCs w:val="52"/>
          <w:lang w:val="en-US" w:eastAsia="zh-CN"/>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评价单位名称：</w:t>
      </w:r>
      <w:r>
        <w:rPr>
          <w:rFonts w:hint="eastAsia" w:ascii="宋体" w:hAnsi="宋体" w:eastAsia="宋体" w:cs="宋体"/>
          <w:b/>
          <w:bCs/>
          <w:color w:val="000000"/>
          <w:kern w:val="0"/>
          <w:sz w:val="28"/>
          <w:szCs w:val="28"/>
          <w:u w:val="none"/>
          <w:lang w:val="en-US" w:eastAsia="zh-CN" w:bidi="ar"/>
        </w:rPr>
        <w:t>绥德县财政资金评审评价中心（章）</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被评价单位名称：绥德县融媒体中心</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被评价项目名称：广播电视播出系统</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评审起止时间：2023年10月13日至2023年11月30日</w:t>
      </w: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color w:val="000000"/>
          <w:kern w:val="0"/>
          <w:sz w:val="28"/>
          <w:szCs w:val="28"/>
          <w:lang w:val="en-US" w:eastAsia="zh-CN" w:bidi="ar"/>
        </w:rPr>
      </w:pPr>
    </w:p>
    <w:p/>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黑体" w:hAnsi="黑体" w:eastAsia="黑体" w:cs="黑体"/>
          <w:kern w:val="2"/>
          <w:sz w:val="44"/>
          <w:szCs w:val="44"/>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sdt>
      <w:sdtPr>
        <w:rPr>
          <w:rFonts w:hint="eastAsia" w:ascii="黑体" w:hAnsi="黑体" w:eastAsia="黑体" w:cs="黑体"/>
          <w:kern w:val="2"/>
          <w:sz w:val="44"/>
          <w:szCs w:val="44"/>
          <w:lang w:val="en-US" w:eastAsia="zh-CN" w:bidi="ar-SA"/>
        </w:rPr>
        <w:id w:val="147452881"/>
        <w15:color w:val="DBDBDB"/>
        <w:docPartObj>
          <w:docPartGallery w:val="Table of Contents"/>
          <w:docPartUnique/>
        </w:docPartObj>
      </w:sdtPr>
      <w:sdtEndPr>
        <w:rPr>
          <w:rFonts w:hint="eastAsia" w:asciiTheme="minorHAnsi" w:hAnsiTheme="minorHAnsi" w:eastAsiaTheme="minorEastAsia" w:cstheme="minorBidi"/>
          <w:kern w:val="2"/>
          <w:sz w:val="20"/>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rPr>
              <w:rFonts w:hint="eastAsia" w:ascii="黑体" w:hAnsi="黑体" w:eastAsia="黑体" w:cs="黑体"/>
              <w:b w:val="0"/>
              <w:bCs w:val="0"/>
              <w:sz w:val="44"/>
              <w:szCs w:val="44"/>
            </w:rPr>
          </w:pPr>
          <w:r>
            <w:rPr>
              <w:rFonts w:hint="eastAsia" w:ascii="宋体" w:hAnsi="宋体" w:eastAsia="宋体" w:cs="宋体"/>
              <w:b/>
              <w:bCs/>
              <w:sz w:val="44"/>
              <w:szCs w:val="44"/>
            </w:rPr>
            <w:t>目</w:t>
          </w:r>
          <w:bookmarkStart w:id="90" w:name="_GoBack"/>
          <w:r>
            <w:rPr>
              <w:rFonts w:hint="eastAsia" w:ascii="宋体" w:hAnsi="宋体" w:eastAsia="宋体" w:cs="宋体"/>
              <w:b/>
              <w:bCs/>
              <w:sz w:val="44"/>
              <w:szCs w:val="44"/>
              <w:lang w:val="en-US" w:eastAsia="zh-CN"/>
            </w:rPr>
            <w:t xml:space="preserve">  </w:t>
          </w:r>
          <w:bookmarkEnd w:id="90"/>
          <w:r>
            <w:rPr>
              <w:rFonts w:hint="eastAsia" w:ascii="宋体" w:hAnsi="宋体" w:eastAsia="宋体" w:cs="宋体"/>
              <w:b/>
              <w:bCs/>
              <w:sz w:val="44"/>
              <w:szCs w:val="44"/>
            </w:rPr>
            <w:t>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"1-4" \h \u </w:instrText>
          </w:r>
          <w:r>
            <w:rPr>
              <w:rFonts w:hint="eastAsia" w:ascii="宋体" w:hAnsi="宋体" w:eastAsia="宋体" w:cs="宋体"/>
              <w:b w:val="0"/>
              <w:bCs w:val="0"/>
              <w:sz w:val="28"/>
              <w:szCs w:val="28"/>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_Toc7260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摘要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_Toc7260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_Toc26357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一、基本情况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_Toc26357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_Toc11233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二、资金基本情况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_Toc16870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三、评价目的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_Toc16870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_Toc6318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四、项目绩效再评价组织情况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_Toc13374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（一）评价的原则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_Toc645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（二）评价的依据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_Toc29372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（三）评级对象及范围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_Toc5923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（四）评价的主要内容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_Toc5923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_Toc30777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（五）评价的方法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_Toc30777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_Toc8649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（六）时间安排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_Toc22419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五、综合评价结论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_Toc22419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_Toc5106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六、绩效分析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_Toc5106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_Toc9742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rPr>
            <w:t>（一）</w:t>
          </w:r>
          <w:r>
            <w:rPr>
              <w:rFonts w:hint="eastAsia" w:ascii="宋体" w:hAnsi="宋体" w:eastAsia="宋体" w:cs="宋体"/>
              <w:bCs w:val="0"/>
              <w:kern w:val="0"/>
              <w:sz w:val="24"/>
              <w:szCs w:val="24"/>
              <w:lang w:val="en-US" w:eastAsia="zh-CN" w:bidi="ar"/>
            </w:rPr>
            <w:t>项目管理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_Toc9742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_Toc14531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（二）组织实施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_Toc14531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_Toc2427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（三）资金管理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_Toc4347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（四）项目绩效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_Toc4347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_Toc4334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七、存在问题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_Toc881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八、建议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_Toc29638 </w:instrText>
          </w:r>
          <w:r>
            <w:rPr>
              <w:rFonts w:hint="eastAsia" w:ascii="宋体" w:hAnsi="宋体" w:eastAsia="宋体" w:cs="宋体"/>
              <w:bCs w:val="0"/>
              <w:sz w:val="24"/>
              <w:szCs w:val="24"/>
            </w:rPr>
            <w:fldChar w:fldCharType="separate"/>
          </w:r>
          <w:r>
            <w:rPr>
              <w:rFonts w:hint="eastAsia" w:ascii="宋体" w:hAnsi="宋体" w:eastAsia="宋体" w:cs="宋体"/>
              <w:spacing w:val="9"/>
              <w:sz w:val="24"/>
              <w:szCs w:val="24"/>
              <w:lang w:eastAsia="zh-CN"/>
            </w:rPr>
            <w:t>绥德县</w:t>
          </w:r>
          <w:r>
            <w:rPr>
              <w:rFonts w:hint="eastAsia" w:ascii="宋体" w:hAnsi="宋体" w:eastAsia="宋体" w:cs="宋体"/>
              <w:spacing w:val="9"/>
              <w:sz w:val="24"/>
              <w:szCs w:val="24"/>
              <w:lang w:val="en-US" w:eastAsia="zh-CN"/>
            </w:rPr>
            <w:t>融媒体中心广播电视播出系统项目</w:t>
          </w:r>
          <w:r>
            <w:rPr>
              <w:rFonts w:hint="eastAsia" w:ascii="宋体" w:hAnsi="宋体" w:eastAsia="宋体" w:cs="宋体"/>
              <w:spacing w:val="9"/>
              <w:sz w:val="24"/>
              <w:szCs w:val="24"/>
            </w:rPr>
            <w:t>绩效评价指标框架表</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表1</w:t>
          </w:r>
          <w:r>
            <w:rPr>
              <w:rFonts w:hint="eastAsia" w:ascii="宋体" w:hAnsi="宋体" w:eastAsia="宋体" w:cs="宋体"/>
              <w:spacing w:val="9"/>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_Toc11867 </w:instrText>
          </w:r>
          <w:r>
            <w:rPr>
              <w:rFonts w:hint="eastAsia" w:ascii="宋体" w:hAnsi="宋体" w:eastAsia="宋体" w:cs="宋体"/>
              <w:bCs w:val="0"/>
              <w:sz w:val="24"/>
              <w:szCs w:val="24"/>
            </w:rPr>
            <w:fldChar w:fldCharType="separate"/>
          </w:r>
          <w:r>
            <w:rPr>
              <w:rFonts w:hint="eastAsia" w:ascii="宋体" w:hAnsi="宋体" w:eastAsia="宋体" w:cs="宋体"/>
              <w:spacing w:val="9"/>
              <w:sz w:val="24"/>
              <w:szCs w:val="24"/>
              <w:lang w:eastAsia="zh-CN"/>
            </w:rPr>
            <w:t>绥德县</w:t>
          </w:r>
          <w:r>
            <w:rPr>
              <w:rFonts w:hint="eastAsia" w:ascii="宋体" w:hAnsi="宋体" w:eastAsia="宋体" w:cs="宋体"/>
              <w:spacing w:val="9"/>
              <w:sz w:val="24"/>
              <w:szCs w:val="24"/>
              <w:lang w:val="en-US" w:eastAsia="zh-CN"/>
            </w:rPr>
            <w:t>融媒体中心广播电视播出系统项目</w:t>
          </w:r>
          <w:r>
            <w:rPr>
              <w:rFonts w:hint="eastAsia" w:ascii="宋体" w:hAnsi="宋体" w:eastAsia="宋体" w:cs="宋体"/>
              <w:spacing w:val="9"/>
              <w:sz w:val="24"/>
              <w:szCs w:val="24"/>
            </w:rPr>
            <w:t>绩效评价指标框架表</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表2</w:t>
          </w:r>
          <w:r>
            <w:rPr>
              <w:rFonts w:hint="eastAsia" w:ascii="宋体" w:hAnsi="宋体" w:eastAsia="宋体" w:cs="宋体"/>
              <w:spacing w:val="9"/>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_Toc11867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0"/>
              <w:szCs w:val="22"/>
            </w:rPr>
          </w:pPr>
          <w:r>
            <w:rPr>
              <w:rFonts w:hint="eastAsia" w:ascii="宋体" w:hAnsi="宋体" w:eastAsia="宋体" w:cs="宋体"/>
              <w:bCs w:val="0"/>
              <w:szCs w:val="28"/>
            </w:rPr>
            <w:fldChar w:fldCharType="end"/>
          </w:r>
        </w:p>
      </w:sdtContent>
    </w:sdt>
    <w:p>
      <w:pPr>
        <w:jc w:val="both"/>
        <w:outlineLvl w:val="0"/>
        <w:rPr>
          <w:rFonts w:hint="eastAsia" w:ascii="黑体" w:hAnsi="黑体" w:eastAsia="黑体" w:cs="黑体"/>
          <w:sz w:val="44"/>
          <w:szCs w:val="44"/>
          <w:lang w:val="en-US" w:eastAsia="zh-CN"/>
        </w:rPr>
      </w:pPr>
      <w:bookmarkStart w:id="8" w:name="_Toc23589"/>
      <w:bookmarkStart w:id="9" w:name="_Toc6049"/>
      <w:bookmarkStart w:id="10" w:name="_Toc760"/>
      <w:bookmarkStart w:id="11" w:name="_Toc1030"/>
      <w:bookmarkStart w:id="12" w:name="_Toc20622"/>
      <w:bookmarkStart w:id="13" w:name="_Toc17242"/>
    </w:p>
    <w:p>
      <w:pPr>
        <w:jc w:val="center"/>
        <w:outlineLvl w:val="0"/>
        <w:rPr>
          <w:rFonts w:hint="eastAsia" w:ascii="黑体" w:hAnsi="黑体" w:eastAsia="黑体" w:cs="黑体"/>
          <w:sz w:val="44"/>
          <w:szCs w:val="44"/>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bookmarkStart w:id="14" w:name="_Toc7260"/>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摘  要</w:t>
      </w:r>
      <w:bookmarkEnd w:id="8"/>
      <w:bookmarkEnd w:id="9"/>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spacing w:line="576"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color w:val="000000"/>
          <w:kern w:val="0"/>
          <w:sz w:val="28"/>
          <w:szCs w:val="28"/>
          <w:lang w:val="en-US" w:eastAsia="zh-CN" w:bidi="ar"/>
        </w:rPr>
        <w:t>广播电视播出系统项目由绥德县融媒体中心组织实施，资金投入100万元，资金支付率75.17%。绥德县融媒体中心担负着绥德县融媒体中心担负着绥德台广播与电视的采、编、制、播的任务电视节目每天播出15小时，调频广播每天播出17小时，全年不中断。从融媒体中心至转播台的广播电视节目传输光缆已经使用多年，且为一根四芯光缆，没有备用光缆，一旦出现问题调频广播与开路电视都将出现停播。为高质量保障安全播出，需再实施一根24芯传输光缆，保障调频广播与开路电视正常播出。同时，广播电视的播出系统已陈旧、老化，易出现闪断、黑屏、无声等故障，影响节目播出，急需购置新的调频广播和电视播出系统替换现有设备，用以保障安全零事故正常播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本次评价主要从方面进行评价。共设计四个一级指标、五个二级指标、十三个三级指标。采用书面资料查阅、实地查看、询问查证和问卷调查相结合的方法开展评价工作，评价等级“一般”，得分75分。</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bCs/>
          <w:sz w:val="28"/>
          <w:szCs w:val="28"/>
          <w:lang w:val="en-US" w:eastAsia="zh-CN"/>
        </w:rPr>
        <w:t>存在问题：</w:t>
      </w:r>
      <w:r>
        <w:rPr>
          <w:rFonts w:hint="eastAsia" w:ascii="仿宋" w:hAnsi="仿宋" w:eastAsia="仿宋" w:cs="仿宋"/>
          <w:b w:val="0"/>
          <w:bCs w:val="0"/>
          <w:color w:val="000000"/>
          <w:kern w:val="0"/>
          <w:sz w:val="28"/>
          <w:szCs w:val="28"/>
          <w:lang w:val="en-US" w:eastAsia="zh-CN" w:bidi="ar"/>
        </w:rPr>
        <w:t>对绩效目标指标设置上不够细化，且未进行公示公告；对于绩效目标的监控不够详细，仅有1次全年的监控，未见到中途监控记录；项目有自评表，无自评报告，且未进行公示。</w:t>
      </w:r>
      <w:r>
        <w:rPr>
          <w:rFonts w:hint="eastAsia" w:ascii="仿宋" w:hAnsi="仿宋" w:eastAsia="仿宋" w:cs="仿宋"/>
          <w:color w:val="000000"/>
          <w:kern w:val="0"/>
          <w:sz w:val="28"/>
          <w:szCs w:val="28"/>
          <w:lang w:val="en-US" w:eastAsia="zh-CN" w:bidi="ar"/>
        </w:rPr>
        <w:t>部门对全面实施绩效管理认识不到位。</w:t>
      </w:r>
      <w:r>
        <w:rPr>
          <w:rFonts w:hint="eastAsia" w:ascii="仿宋" w:hAnsi="仿宋" w:eastAsia="仿宋" w:cs="仿宋"/>
          <w:b w:val="0"/>
          <w:bCs w:val="0"/>
          <w:color w:val="000000"/>
          <w:kern w:val="0"/>
          <w:sz w:val="28"/>
          <w:szCs w:val="28"/>
          <w:lang w:val="en-US" w:eastAsia="zh-CN" w:bidi="ar"/>
        </w:rPr>
        <w:t>项目验收只有验收清单，无验收报告。</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sz w:val="24"/>
          <w:szCs w:val="24"/>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bCs/>
          <w:sz w:val="28"/>
          <w:szCs w:val="28"/>
          <w:lang w:val="en-US" w:eastAsia="zh-CN"/>
        </w:rPr>
        <w:t>建议：</w:t>
      </w:r>
      <w:r>
        <w:rPr>
          <w:rFonts w:hint="eastAsia" w:ascii="仿宋" w:hAnsi="仿宋" w:eastAsia="仿宋" w:cs="仿宋"/>
          <w:color w:val="000000"/>
          <w:kern w:val="0"/>
          <w:sz w:val="28"/>
          <w:szCs w:val="28"/>
          <w:lang w:val="en-US" w:eastAsia="zh-CN" w:bidi="ar"/>
        </w:rPr>
        <w:t>要加强学习全面实施绩效管理的政策法规，严格执行《</w:t>
      </w:r>
      <w:r>
        <w:rPr>
          <w:rFonts w:hint="eastAsia" w:ascii="仿宋" w:hAnsi="仿宋" w:eastAsia="仿宋" w:cs="仿宋"/>
          <w:b w:val="0"/>
          <w:bCs w:val="0"/>
          <w:color w:val="000000"/>
          <w:kern w:val="0"/>
          <w:sz w:val="28"/>
          <w:szCs w:val="28"/>
          <w:lang w:val="en-US" w:eastAsia="zh-CN" w:bidi="ar"/>
        </w:rPr>
        <w:t>绥德县全面实施预算绩效管理的实施方案</w:t>
      </w:r>
      <w:r>
        <w:rPr>
          <w:rFonts w:hint="eastAsia" w:ascii="仿宋" w:hAnsi="仿宋" w:eastAsia="仿宋" w:cs="仿宋"/>
          <w:color w:val="000000"/>
          <w:kern w:val="0"/>
          <w:sz w:val="28"/>
          <w:szCs w:val="28"/>
          <w:lang w:val="en-US" w:eastAsia="zh-CN" w:bidi="ar"/>
        </w:rPr>
        <w:t>》，积极主动申报绩效目标，确保所有财政性资金纳入绩效管理。</w:t>
      </w:r>
      <w:r>
        <w:rPr>
          <w:rFonts w:hint="eastAsia" w:ascii="仿宋" w:hAnsi="仿宋" w:eastAsia="仿宋" w:cs="仿宋"/>
          <w:b w:val="0"/>
          <w:bCs w:val="0"/>
          <w:color w:val="000000"/>
          <w:kern w:val="0"/>
          <w:sz w:val="28"/>
          <w:szCs w:val="28"/>
          <w:lang w:val="en-US" w:eastAsia="zh-CN" w:bidi="ar"/>
        </w:rPr>
        <w:t>严格按照的验收流程进行验收，并撰写验收报告，并及时进行公示公告。</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仿宋" w:hAnsi="仿宋" w:eastAsia="仿宋" w:cs="仿宋"/>
          <w:b/>
          <w:bCs/>
          <w:sz w:val="44"/>
          <w:szCs w:val="44"/>
        </w:rPr>
      </w:pPr>
      <w:bookmarkStart w:id="15" w:name="_Toc12581"/>
      <w:r>
        <w:rPr>
          <w:rFonts w:hint="eastAsia" w:ascii="仿宋" w:hAnsi="仿宋" w:eastAsia="仿宋" w:cs="仿宋"/>
          <w:b/>
          <w:bCs/>
          <w:color w:val="000000"/>
          <w:kern w:val="0"/>
          <w:sz w:val="32"/>
          <w:szCs w:val="32"/>
          <w:lang w:val="en-US" w:eastAsia="zh-CN" w:bidi="ar"/>
        </w:rPr>
        <w:t>【正文】</w:t>
      </w:r>
      <w:bookmarkEnd w:id="15"/>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绥德县全面实施预算绩效管理的实施方案》（绥政发〔2021〕6号）和《绥德县财政支出绩效评价结果应用暂行办法》（绥办〔2022〕56号）文件精神，绥德县财政局于2023年10月13日至2023年11月30日对绥德县融媒体中心广播电视播出系统项目资金使用情况进行绩效评价。现将评价情况报告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16" w:name="_Toc3349"/>
      <w:bookmarkStart w:id="17" w:name="_Toc8776"/>
      <w:bookmarkStart w:id="18" w:name="_Toc29471"/>
      <w:bookmarkStart w:id="19" w:name="_Toc26727"/>
      <w:bookmarkStart w:id="20" w:name="_Toc26357"/>
      <w:bookmarkStart w:id="21" w:name="_Toc1281"/>
      <w:bookmarkStart w:id="22" w:name="_Toc7411"/>
      <w:r>
        <w:rPr>
          <w:rFonts w:hint="eastAsia" w:ascii="仿宋" w:hAnsi="仿宋" w:eastAsia="仿宋" w:cs="仿宋"/>
          <w:b/>
          <w:bCs/>
          <w:color w:val="000000"/>
          <w:kern w:val="0"/>
          <w:sz w:val="32"/>
          <w:szCs w:val="32"/>
          <w:lang w:val="en-US" w:eastAsia="zh-CN" w:bidi="ar"/>
        </w:rPr>
        <w:t>基本情况</w:t>
      </w:r>
      <w:bookmarkEnd w:id="16"/>
      <w:bookmarkEnd w:id="17"/>
      <w:bookmarkEnd w:id="18"/>
      <w:bookmarkEnd w:id="19"/>
      <w:bookmarkEnd w:id="20"/>
      <w:bookmarkEnd w:id="21"/>
      <w:bookmarkEnd w:id="2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广播电视播出系统项目由绥德县融媒体中心组织实施，资金投入100万元，资金支付率75.17%。绥德县融媒体中心担负着绥德县融媒体中心担负着绥德台广播与电视的采、编、制、播的任务电视节目每天播出15小时，调频广播每天播出17小时，全年不中断。从融媒体中心至转播台的广播电视节目传输光缆已经使用多年，且为一根四芯光缆，没有备用光缆，一旦出现问题调频广播与开路电视都将出现停播。为高质量保障安全播出，需再实施一根24芯传输光缆，保障调频广播与开路电视正常播出。同时，广播电视的播出系统已陈旧、老化，易出现闪断、黑屏、无声等故障，影响节目播出，急需购置新的调频广播和电视播出系统替换现有设备，用以保障安全零事故正常播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23" w:name="_Toc11233"/>
      <w:bookmarkStart w:id="24" w:name="_Toc29071"/>
      <w:r>
        <w:rPr>
          <w:rFonts w:hint="eastAsia" w:ascii="仿宋" w:hAnsi="仿宋" w:eastAsia="仿宋" w:cs="仿宋"/>
          <w:b/>
          <w:bCs/>
          <w:color w:val="000000"/>
          <w:kern w:val="0"/>
          <w:sz w:val="32"/>
          <w:szCs w:val="32"/>
          <w:lang w:val="en-US" w:eastAsia="zh-CN" w:bidi="ar"/>
        </w:rPr>
        <w:t>资金基本情况</w:t>
      </w:r>
      <w:bookmarkEnd w:id="23"/>
      <w:bookmarkEnd w:id="24"/>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绥德县融媒体中心广播电视播出系统项目，计划到位100万元，实际到位100万元。截至目前，绥德县融媒体中心共支出751719.51元，结余248280.49元。其中2022年支出455119.51元，2023年支出296600元。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25" w:name="_Toc6194"/>
      <w:bookmarkStart w:id="26" w:name="_Toc16870"/>
      <w:r>
        <w:rPr>
          <w:rFonts w:hint="eastAsia" w:ascii="仿宋" w:hAnsi="仿宋" w:eastAsia="仿宋" w:cs="仿宋"/>
          <w:b/>
          <w:bCs/>
          <w:color w:val="000000"/>
          <w:kern w:val="0"/>
          <w:sz w:val="32"/>
          <w:szCs w:val="32"/>
          <w:lang w:val="en-US" w:eastAsia="zh-CN" w:bidi="ar"/>
        </w:rPr>
        <w:t>评价目的</w:t>
      </w:r>
      <w:bookmarkEnd w:id="25"/>
      <w:bookmarkEnd w:id="26"/>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2"/>
          <w:szCs w:val="32"/>
          <w:lang w:val="en-US" w:eastAsia="zh-CN" w:bidi="ar"/>
        </w:rPr>
        <w:t>运用规范的绩效指标体系和科学的评价方法，全面、客观反映绥德县融媒体中心广播电视播出系统项目完成情况和实施效果。及时总结经验，分析存在的问题，采取有效措施改进和加强项目管理。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27" w:name="_Toc6481"/>
      <w:bookmarkStart w:id="28" w:name="_Toc6318"/>
      <w:bookmarkStart w:id="29" w:name="_Toc1976"/>
      <w:bookmarkStart w:id="30" w:name="_Toc12615"/>
      <w:bookmarkStart w:id="31" w:name="_Toc16455"/>
      <w:bookmarkStart w:id="32" w:name="_Toc640"/>
      <w:bookmarkStart w:id="33" w:name="_Toc22848"/>
      <w:r>
        <w:rPr>
          <w:rFonts w:hint="eastAsia" w:ascii="仿宋" w:hAnsi="仿宋" w:eastAsia="仿宋" w:cs="仿宋"/>
          <w:b/>
          <w:bCs/>
          <w:color w:val="000000"/>
          <w:kern w:val="0"/>
          <w:sz w:val="32"/>
          <w:szCs w:val="32"/>
          <w:lang w:val="en-US" w:eastAsia="zh-CN" w:bidi="ar"/>
        </w:rPr>
        <w:t>项目绩效再评价组织情况</w:t>
      </w:r>
      <w:bookmarkEnd w:id="27"/>
      <w:bookmarkEnd w:id="28"/>
      <w:bookmarkEnd w:id="29"/>
      <w:bookmarkEnd w:id="30"/>
      <w:bookmarkEnd w:id="31"/>
      <w:bookmarkEnd w:id="32"/>
      <w:bookmarkEnd w:id="33"/>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34" w:name="_Toc7100"/>
      <w:bookmarkStart w:id="35" w:name="_Toc937"/>
      <w:bookmarkStart w:id="36" w:name="_Toc17808"/>
      <w:bookmarkStart w:id="37" w:name="_Toc13374"/>
      <w:bookmarkStart w:id="38" w:name="_Toc22319"/>
      <w:r>
        <w:rPr>
          <w:rFonts w:hint="eastAsia" w:ascii="仿宋" w:hAnsi="仿宋" w:eastAsia="仿宋" w:cs="仿宋"/>
          <w:b w:val="0"/>
          <w:bCs w:val="0"/>
          <w:color w:val="000000"/>
          <w:kern w:val="0"/>
          <w:sz w:val="32"/>
          <w:szCs w:val="32"/>
          <w:lang w:val="en-US" w:eastAsia="zh-CN" w:bidi="ar"/>
        </w:rPr>
        <w:t>评价的原则</w:t>
      </w:r>
      <w:bookmarkEnd w:id="34"/>
      <w:bookmarkEnd w:id="35"/>
      <w:bookmarkEnd w:id="36"/>
      <w:bookmarkEnd w:id="37"/>
      <w:bookmarkEnd w:id="3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1"/>
          <w:szCs w:val="31"/>
          <w:lang w:val="en-US" w:eastAsia="zh-CN" w:bidi="ar"/>
        </w:rPr>
        <w:t>坚持公平、公正、实事求是的原则，依法公开接受监督；坚持科学规范的原则，采取定量与定性分析相结合的方法。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39" w:name="_Toc122"/>
      <w:bookmarkStart w:id="40" w:name="_Toc21287"/>
      <w:bookmarkStart w:id="41" w:name="_Toc645"/>
      <w:bookmarkStart w:id="42" w:name="_Toc21794"/>
      <w:bookmarkStart w:id="43" w:name="_Toc30087"/>
      <w:r>
        <w:rPr>
          <w:rFonts w:hint="eastAsia" w:ascii="仿宋" w:hAnsi="仿宋" w:eastAsia="仿宋" w:cs="仿宋"/>
          <w:b w:val="0"/>
          <w:bCs w:val="0"/>
          <w:color w:val="000000"/>
          <w:kern w:val="0"/>
          <w:sz w:val="32"/>
          <w:szCs w:val="32"/>
          <w:lang w:val="en-US" w:eastAsia="zh-CN" w:bidi="ar"/>
        </w:rPr>
        <w:t>评价的依据</w:t>
      </w:r>
      <w:bookmarkEnd w:id="39"/>
      <w:bookmarkEnd w:id="40"/>
      <w:bookmarkEnd w:id="41"/>
      <w:bookmarkEnd w:id="42"/>
      <w:bookmarkEnd w:id="43"/>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《绥德县全面实施预算绩效管理的实施方案》（绥政发〔2021〕6号）；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《绥德县财政支出绩效评价结果应用暂行办法》（绥办〔2022〕56号）；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财政部门的指标文件；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该项目的项目资料、财务资料等相关资料；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44" w:name="_Toc15080"/>
      <w:bookmarkStart w:id="45" w:name="_Toc29372"/>
      <w:bookmarkStart w:id="46" w:name="_Toc10484"/>
      <w:bookmarkStart w:id="47" w:name="_Toc30385"/>
      <w:bookmarkStart w:id="48" w:name="_Toc15808"/>
      <w:r>
        <w:rPr>
          <w:rFonts w:hint="eastAsia" w:ascii="仿宋" w:hAnsi="仿宋" w:eastAsia="仿宋" w:cs="仿宋"/>
          <w:b w:val="0"/>
          <w:bCs w:val="0"/>
          <w:color w:val="000000"/>
          <w:kern w:val="0"/>
          <w:sz w:val="32"/>
          <w:szCs w:val="32"/>
          <w:lang w:val="en-US" w:eastAsia="zh-CN" w:bidi="ar"/>
        </w:rPr>
        <w:t>评价对象及范围</w:t>
      </w:r>
      <w:bookmarkEnd w:id="44"/>
      <w:bookmarkEnd w:id="45"/>
      <w:bookmarkEnd w:id="46"/>
      <w:bookmarkEnd w:id="47"/>
      <w:bookmarkEnd w:id="4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bCs w:val="0"/>
          <w:color w:val="000000"/>
          <w:kern w:val="0"/>
          <w:sz w:val="32"/>
          <w:szCs w:val="32"/>
          <w:lang w:val="en-US" w:eastAsia="zh-CN" w:bidi="ar"/>
        </w:rPr>
      </w:pPr>
      <w:bookmarkStart w:id="49" w:name="_Toc7739"/>
      <w:bookmarkStart w:id="50" w:name="_Toc16823"/>
      <w:bookmarkStart w:id="51" w:name="_Toc2722"/>
      <w:bookmarkStart w:id="52" w:name="_Toc15564"/>
      <w:r>
        <w:rPr>
          <w:rFonts w:hint="eastAsia" w:ascii="仿宋" w:hAnsi="仿宋" w:eastAsia="仿宋" w:cs="仿宋"/>
          <w:b w:val="0"/>
          <w:bCs w:val="0"/>
          <w:color w:val="000000"/>
          <w:kern w:val="0"/>
          <w:sz w:val="32"/>
          <w:szCs w:val="32"/>
          <w:lang w:val="en-US" w:eastAsia="zh-CN" w:bidi="ar"/>
        </w:rPr>
        <w:t>绥德县融媒体中心广播电视播出系统项目资金。</w:t>
      </w:r>
      <w:bookmarkEnd w:id="49"/>
      <w:bookmarkEnd w:id="50"/>
      <w:bookmarkEnd w:id="51"/>
      <w:bookmarkEnd w:id="52"/>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53" w:name="_Toc5923"/>
      <w:r>
        <w:rPr>
          <w:rFonts w:hint="eastAsia" w:ascii="仿宋" w:hAnsi="仿宋" w:eastAsia="仿宋" w:cs="仿宋"/>
          <w:b w:val="0"/>
          <w:bCs w:val="0"/>
          <w:color w:val="000000"/>
          <w:kern w:val="0"/>
          <w:sz w:val="32"/>
          <w:szCs w:val="32"/>
          <w:lang w:val="en-US" w:eastAsia="zh-CN" w:bidi="ar"/>
        </w:rPr>
        <w:t>评价的主要内容</w:t>
      </w:r>
      <w:bookmarkEnd w:id="5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评价内容主要包括项目管理情况、项目组织实施情况、资金管理情况和项目绩效情况四部分。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项目管理：主要是对本项目立项依据充分性、立项程序规范性和实施方案可行性等进行审核。</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组织实施：主要是对项目实施情况、绩效目标的实际效用，购置设备的质量以及利用程度进行审核。</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资金管理情况：主要是对项目预算编制科学性、资金分配合理性、资金使用时效性、财务管理健全性、制度执行有效性进行审核。</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项目绩效情况：主要从项目的社会效益、可持续影响以及服务对象满意度等方面进行评价。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54" w:name="_Toc30777"/>
      <w:r>
        <w:rPr>
          <w:rFonts w:hint="eastAsia" w:ascii="仿宋" w:hAnsi="仿宋" w:eastAsia="仿宋" w:cs="仿宋"/>
          <w:b w:val="0"/>
          <w:bCs w:val="0"/>
          <w:color w:val="000000"/>
          <w:kern w:val="0"/>
          <w:sz w:val="32"/>
          <w:szCs w:val="32"/>
          <w:lang w:val="en-US" w:eastAsia="zh-CN" w:bidi="ar"/>
        </w:rPr>
        <w:t>评价的方法</w:t>
      </w:r>
      <w:bookmarkEnd w:id="54"/>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1"/>
          <w:szCs w:val="31"/>
          <w:lang w:val="en-US" w:eastAsia="zh-CN" w:bidi="ar"/>
        </w:rPr>
        <w:t>本次绩效评价遵循客观、真实、科学的基本原则，在对项目充分了解分析的基础上制定出科学合理的绩效评价指标体系，包括项目管理、资金管理、组织实施、项目绩效四大考核指标。采取书面资料查阅、实地查看、询问查证和问卷调查相结合的方法开展评价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55" w:name="_Toc8649"/>
      <w:r>
        <w:rPr>
          <w:rFonts w:hint="eastAsia" w:ascii="仿宋" w:hAnsi="仿宋" w:eastAsia="仿宋" w:cs="仿宋"/>
          <w:b w:val="0"/>
          <w:bCs w:val="0"/>
          <w:color w:val="000000"/>
          <w:kern w:val="0"/>
          <w:sz w:val="32"/>
          <w:szCs w:val="32"/>
          <w:lang w:val="en-US" w:eastAsia="zh-CN" w:bidi="ar"/>
        </w:rPr>
        <w:t>时间安排</w:t>
      </w:r>
      <w:bookmarkEnd w:id="55"/>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2023年10月中旬开始，11月底结束。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56" w:name="_Toc31930"/>
      <w:bookmarkStart w:id="57" w:name="_Toc25469"/>
      <w:bookmarkStart w:id="58" w:name="_Toc18508"/>
      <w:bookmarkStart w:id="59" w:name="_Toc22419"/>
      <w:bookmarkStart w:id="60" w:name="_Toc20194"/>
      <w:bookmarkStart w:id="61" w:name="_Toc23289"/>
      <w:bookmarkStart w:id="62" w:name="_Toc6886"/>
      <w:r>
        <w:rPr>
          <w:rFonts w:hint="eastAsia" w:ascii="仿宋" w:hAnsi="仿宋" w:eastAsia="仿宋" w:cs="仿宋"/>
          <w:b/>
          <w:bCs/>
          <w:color w:val="000000"/>
          <w:kern w:val="0"/>
          <w:sz w:val="32"/>
          <w:szCs w:val="32"/>
          <w:lang w:val="en-US" w:eastAsia="zh-CN" w:bidi="ar"/>
        </w:rPr>
        <w:t>综合评价结论</w:t>
      </w:r>
      <w:bookmarkEnd w:id="56"/>
      <w:bookmarkEnd w:id="57"/>
      <w:bookmarkEnd w:id="58"/>
      <w:bookmarkEnd w:id="59"/>
      <w:bookmarkEnd w:id="60"/>
      <w:bookmarkEnd w:id="61"/>
      <w:bookmarkEnd w:id="62"/>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评价得分：本次评价采用以定量考核为基础，以定性分析为辅，实行定量打分与定性分析相结合，以此汇总形成绩效评价综合得分。</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评价等级：评价结果分为优秀、良好、一般、较差四个等次，根据评价结果的分值，确定评价对象最后达到的档次。具体见下表：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b/>
          <w:bCs/>
          <w:color w:val="000000"/>
          <w:kern w:val="0"/>
          <w:sz w:val="32"/>
          <w:szCs w:val="32"/>
          <w:vertAlign w:val="baseline"/>
          <w:lang w:val="en-US" w:eastAsia="zh-CN" w:bidi="ar"/>
        </w:rPr>
      </w:pPr>
      <w:bookmarkStart w:id="63" w:name="_Toc5865"/>
      <w:bookmarkStart w:id="64" w:name="_Toc16028"/>
      <w:r>
        <w:rPr>
          <w:rFonts w:hint="eastAsia" w:ascii="黑体" w:hAnsi="黑体" w:eastAsia="黑体" w:cs="黑体"/>
          <w:b/>
          <w:bCs/>
          <w:color w:val="000000"/>
          <w:kern w:val="0"/>
          <w:sz w:val="32"/>
          <w:szCs w:val="32"/>
          <w:lang w:val="en-US" w:eastAsia="zh-CN" w:bidi="ar"/>
        </w:rPr>
        <w:t>评价分值档次表</w:t>
      </w:r>
      <w:bookmarkEnd w:id="63"/>
      <w:bookmarkEnd w:id="64"/>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682"/>
        <w:gridCol w:w="1714"/>
        <w:gridCol w:w="174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档次</w:t>
            </w:r>
          </w:p>
        </w:tc>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优秀</w:t>
            </w:r>
          </w:p>
        </w:tc>
        <w:tc>
          <w:tcPr>
            <w:tcW w:w="1005"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良好</w:t>
            </w:r>
          </w:p>
        </w:tc>
        <w:tc>
          <w:tcPr>
            <w:tcW w:w="1024"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一般</w:t>
            </w:r>
          </w:p>
        </w:tc>
        <w:tc>
          <w:tcPr>
            <w:tcW w:w="99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分值</w:t>
            </w:r>
          </w:p>
        </w:tc>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≥90</w:t>
            </w:r>
          </w:p>
        </w:tc>
        <w:tc>
          <w:tcPr>
            <w:tcW w:w="1005"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≥80，&lt;90</w:t>
            </w:r>
          </w:p>
        </w:tc>
        <w:tc>
          <w:tcPr>
            <w:tcW w:w="1024"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≥70,&lt;80</w:t>
            </w:r>
          </w:p>
        </w:tc>
        <w:tc>
          <w:tcPr>
            <w:tcW w:w="99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&lt;70</w:t>
            </w:r>
          </w:p>
        </w:tc>
      </w:tr>
    </w:tbl>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6" w:lineRule="exact"/>
        <w:ind w:left="0" w:leftChars="0"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评价结论：经过实地查看资料、走访部门单位、发放调查问卷等多种方式进行收集资料，根据《绥德县融媒体中心广播电视播出系统项目绩效评价指标框架表》进行评价，综合评价结果为“一般”，得分75分。</w:t>
      </w:r>
    </w:p>
    <w:p>
      <w:pPr>
        <w:keepNext w:val="0"/>
        <w:keepLines w:val="0"/>
        <w:widowControl/>
        <w:suppressLineNumbers w:val="0"/>
        <w:jc w:val="center"/>
        <w:rPr>
          <w:rFonts w:hint="default" w:ascii="仿宋" w:hAnsi="仿宋" w:eastAsia="仿宋" w:cs="仿宋"/>
          <w:b/>
          <w:bCs/>
          <w:color w:val="000000"/>
          <w:kern w:val="0"/>
          <w:sz w:val="32"/>
          <w:szCs w:val="32"/>
          <w:lang w:val="en-US" w:eastAsia="zh-CN" w:bidi="ar"/>
        </w:rPr>
      </w:pPr>
      <w:r>
        <w:rPr>
          <w:rFonts w:hint="eastAsia" w:ascii="黑体" w:hAnsi="黑体" w:eastAsia="黑体" w:cs="黑体"/>
          <w:b/>
          <w:bCs/>
          <w:sz w:val="32"/>
          <w:szCs w:val="32"/>
          <w:lang w:val="en-US" w:eastAsia="zh-CN"/>
        </w:rPr>
        <w:t>绥德县融媒体中心广播电视播出系统项目绩效评价打分表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370"/>
        <w:gridCol w:w="103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一级指标</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二级指标</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分值</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得分</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项目管理</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资金支付</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3</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组织实施</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项目实施情况</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41</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23</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资金管理</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资金使用</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财务管理</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7</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7</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项目绩效</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项目效果</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30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30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总分</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100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75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65" w:name="_Toc10029"/>
      <w:bookmarkStart w:id="66" w:name="_Toc12154"/>
      <w:bookmarkStart w:id="67" w:name="_Toc5106"/>
      <w:bookmarkStart w:id="68" w:name="_Toc27216"/>
      <w:bookmarkStart w:id="69" w:name="_Toc3952"/>
      <w:bookmarkStart w:id="70" w:name="_Toc28436"/>
      <w:bookmarkStart w:id="71" w:name="_Toc18149"/>
      <w:r>
        <w:rPr>
          <w:rFonts w:hint="eastAsia" w:ascii="仿宋" w:hAnsi="仿宋" w:eastAsia="仿宋" w:cs="仿宋"/>
          <w:b/>
          <w:bCs/>
          <w:color w:val="000000"/>
          <w:kern w:val="0"/>
          <w:sz w:val="32"/>
          <w:szCs w:val="32"/>
          <w:lang w:val="en-US" w:eastAsia="zh-CN" w:bidi="ar"/>
        </w:rPr>
        <w:t>绩效分析</w:t>
      </w:r>
      <w:bookmarkEnd w:id="65"/>
      <w:bookmarkEnd w:id="66"/>
      <w:bookmarkEnd w:id="67"/>
      <w:bookmarkEnd w:id="68"/>
      <w:bookmarkEnd w:id="69"/>
      <w:bookmarkEnd w:id="70"/>
      <w:bookmarkEnd w:id="71"/>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6" w:lineRule="exact"/>
        <w:ind w:left="0" w:leftChars="0" w:firstLine="420" w:firstLineChars="0"/>
        <w:jc w:val="left"/>
        <w:textAlignment w:val="auto"/>
        <w:outlineLvl w:val="1"/>
        <w:rPr>
          <w:rFonts w:hint="eastAsia" w:ascii="仿宋" w:hAnsi="仿宋" w:eastAsia="仿宋" w:cs="仿宋"/>
          <w:b w:val="0"/>
          <w:bCs w:val="0"/>
          <w:sz w:val="32"/>
          <w:szCs w:val="32"/>
        </w:rPr>
      </w:pPr>
      <w:bookmarkStart w:id="72" w:name="_Toc9742"/>
      <w:r>
        <w:rPr>
          <w:rFonts w:hint="eastAsia" w:ascii="仿宋" w:hAnsi="仿宋" w:eastAsia="仿宋" w:cs="仿宋"/>
          <w:b w:val="0"/>
          <w:bCs w:val="0"/>
          <w:color w:val="000000"/>
          <w:kern w:val="0"/>
          <w:sz w:val="32"/>
          <w:szCs w:val="32"/>
          <w:lang w:val="en-US" w:eastAsia="zh-CN" w:bidi="ar"/>
        </w:rPr>
        <w:t>项目管理</w:t>
      </w:r>
      <w:bookmarkEnd w:id="72"/>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sz w:val="32"/>
          <w:szCs w:val="32"/>
          <w:lang w:val="en-US" w:eastAsia="zh-CN"/>
        </w:rPr>
        <w:t>1.1资金支付率：项目到位资金100万元，实际支付</w:t>
      </w:r>
      <w:r>
        <w:rPr>
          <w:rFonts w:hint="eastAsia" w:ascii="仿宋" w:hAnsi="仿宋" w:eastAsia="仿宋" w:cs="仿宋"/>
          <w:b w:val="0"/>
          <w:bCs w:val="0"/>
          <w:color w:val="000000"/>
          <w:kern w:val="0"/>
          <w:sz w:val="32"/>
          <w:szCs w:val="32"/>
          <w:lang w:val="en-US" w:eastAsia="zh-CN" w:bidi="ar"/>
        </w:rPr>
        <w:t>75.171951万元，资金支付率为75.17%，共8分，得1分。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1.2资金支付及时性：资金及时到位，共2分，得2分。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6" w:lineRule="exact"/>
        <w:ind w:left="0" w:leftChars="0" w:firstLine="42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73" w:name="_Toc14531"/>
      <w:r>
        <w:rPr>
          <w:rFonts w:hint="eastAsia" w:ascii="仿宋" w:hAnsi="仿宋" w:eastAsia="仿宋" w:cs="仿宋"/>
          <w:b w:val="0"/>
          <w:bCs w:val="0"/>
          <w:color w:val="000000"/>
          <w:kern w:val="0"/>
          <w:sz w:val="32"/>
          <w:szCs w:val="32"/>
          <w:lang w:val="en-US" w:eastAsia="zh-CN" w:bidi="ar"/>
        </w:rPr>
        <w:t>组织实施</w:t>
      </w:r>
      <w:bookmarkEnd w:id="73"/>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项目实施情况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1.1项目绩效目标申报：未进行公示，且指标量化细化不够，不能从表中明确看到支出项目，共6分，得1分。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1.2项目绩效目标监控：项目建立监控，其中监控的资金为45.511951万元，未对后续采购的29.66万元进行监控，共6分，得2分。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1.3项目绩效目标自评：项目有自评表但无自评报告且未进行公示，共6分，得1分。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1.4合格率：设备质量符合国家有关规定，共5分，得5分。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1.5组织验收：有项目验清单，无验收报告，共8分，得4分。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1.6设备利用率：购置设备均在使用，共10分，得10分。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6" w:lineRule="exact"/>
        <w:ind w:left="0" w:leftChars="0" w:firstLine="42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74" w:name="_Toc2427"/>
      <w:r>
        <w:rPr>
          <w:rFonts w:hint="eastAsia" w:ascii="仿宋" w:hAnsi="仿宋" w:eastAsia="仿宋" w:cs="仿宋"/>
          <w:b w:val="0"/>
          <w:bCs w:val="0"/>
          <w:color w:val="000000"/>
          <w:kern w:val="0"/>
          <w:sz w:val="32"/>
          <w:szCs w:val="32"/>
          <w:lang w:val="en-US" w:eastAsia="zh-CN" w:bidi="ar"/>
        </w:rPr>
        <w:t>资金管理</w:t>
      </w:r>
      <w:bookmarkEnd w:id="74"/>
    </w:p>
    <w:p>
      <w:pPr>
        <w:keepNext w:val="0"/>
        <w:keepLines w:val="0"/>
        <w:pageBreakBefore w:val="0"/>
        <w:widowControl/>
        <w:numPr>
          <w:ilvl w:val="0"/>
          <w:numId w:val="9"/>
        </w:numPr>
        <w:suppressLineNumbers w:val="0"/>
        <w:tabs>
          <w:tab w:val="left" w:pos="381"/>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资金使用</w:t>
      </w:r>
      <w:r>
        <w:rPr>
          <w:rFonts w:hint="eastAsia" w:ascii="仿宋" w:hAnsi="仿宋" w:eastAsia="仿宋" w:cs="仿宋"/>
          <w:b w:val="0"/>
          <w:bCs w:val="0"/>
          <w:color w:val="000000"/>
          <w:kern w:val="0"/>
          <w:sz w:val="32"/>
          <w:szCs w:val="32"/>
          <w:lang w:val="en-US" w:eastAsia="zh-CN" w:bidi="ar"/>
        </w:rPr>
        <w:tab/>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1.1资金使用的合规性：资金支出符合规定，未出现违规情况，共6分，得6分。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1.2资金使用的相符性：项目的实际支出与预算、合同相符，共6分，得6分。</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财务管理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2.1制度的健全性：财务制度健全，共7分，得7分。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6" w:lineRule="exact"/>
        <w:ind w:left="0" w:leftChars="0" w:firstLine="420" w:firstLineChars="0"/>
        <w:jc w:val="both"/>
        <w:textAlignment w:val="auto"/>
        <w:outlineLvl w:val="1"/>
        <w:rPr>
          <w:rFonts w:hint="default" w:ascii="仿宋" w:hAnsi="仿宋" w:eastAsia="仿宋" w:cs="仿宋"/>
          <w:b w:val="0"/>
          <w:bCs w:val="0"/>
          <w:color w:val="000000"/>
          <w:kern w:val="0"/>
          <w:sz w:val="32"/>
          <w:szCs w:val="32"/>
          <w:lang w:val="en-US" w:eastAsia="zh-CN" w:bidi="ar"/>
        </w:rPr>
      </w:pPr>
      <w:bookmarkStart w:id="75" w:name="_Toc4347"/>
      <w:r>
        <w:rPr>
          <w:rFonts w:hint="eastAsia" w:ascii="仿宋" w:hAnsi="仿宋" w:eastAsia="仿宋" w:cs="仿宋"/>
          <w:b w:val="0"/>
          <w:bCs w:val="0"/>
          <w:color w:val="000000"/>
          <w:kern w:val="0"/>
          <w:sz w:val="32"/>
          <w:szCs w:val="32"/>
          <w:lang w:val="en-US" w:eastAsia="zh-CN" w:bidi="ar"/>
        </w:rPr>
        <w:t>项目绩效</w:t>
      </w:r>
      <w:bookmarkEnd w:id="75"/>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1.1社会效益：项目使用程度较高，带来实际效益显著，共15分，得15分。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1.2服务对象满意度：根据问卷调查，满意度为95%，共15分，得15分。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76" w:name="_Toc14026"/>
      <w:bookmarkStart w:id="77" w:name="_Toc5820"/>
      <w:bookmarkStart w:id="78" w:name="_Toc22028"/>
      <w:bookmarkStart w:id="79" w:name="_Toc2589"/>
      <w:bookmarkStart w:id="80" w:name="_Toc4334"/>
      <w:bookmarkStart w:id="81" w:name="_Toc5400"/>
      <w:r>
        <w:rPr>
          <w:rFonts w:hint="eastAsia" w:ascii="仿宋" w:hAnsi="仿宋" w:eastAsia="仿宋" w:cs="仿宋"/>
          <w:b/>
          <w:bCs/>
          <w:color w:val="000000"/>
          <w:kern w:val="0"/>
          <w:sz w:val="32"/>
          <w:szCs w:val="32"/>
          <w:lang w:val="en-US" w:eastAsia="zh-CN" w:bidi="ar"/>
        </w:rPr>
        <w:t>存在问题</w:t>
      </w:r>
      <w:bookmarkEnd w:id="76"/>
      <w:bookmarkEnd w:id="77"/>
      <w:bookmarkEnd w:id="78"/>
      <w:bookmarkEnd w:id="79"/>
      <w:bookmarkEnd w:id="80"/>
      <w:bookmarkEnd w:id="81"/>
    </w:p>
    <w:p>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对绩效目标指标设置上不够细化，且未进行公示公告；对于绩效目标的监控不够详细，仅有1次全年的监控，未见到中途监控记录；项目有自评表，无自评报告，且未进行公示。</w:t>
      </w:r>
      <w:r>
        <w:rPr>
          <w:rFonts w:ascii="仿宋" w:hAnsi="仿宋" w:eastAsia="仿宋" w:cs="仿宋"/>
          <w:color w:val="000000"/>
          <w:kern w:val="0"/>
          <w:sz w:val="31"/>
          <w:szCs w:val="31"/>
          <w:lang w:val="en-US" w:eastAsia="zh-CN" w:bidi="ar"/>
        </w:rPr>
        <w:t>部门对全面实施绩效管理认识不到位。</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项目验收只有验收清单，无验收报告。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82" w:name="_Toc25230"/>
      <w:bookmarkStart w:id="83" w:name="_Toc14236"/>
      <w:bookmarkStart w:id="84" w:name="_Toc881"/>
      <w:bookmarkStart w:id="85" w:name="_Toc2195"/>
      <w:bookmarkStart w:id="86" w:name="_Toc10314"/>
      <w:bookmarkStart w:id="87" w:name="_Toc15158"/>
      <w:r>
        <w:rPr>
          <w:rFonts w:hint="eastAsia" w:ascii="仿宋" w:hAnsi="仿宋" w:eastAsia="仿宋" w:cs="仿宋"/>
          <w:b/>
          <w:bCs/>
          <w:color w:val="000000"/>
          <w:kern w:val="0"/>
          <w:sz w:val="32"/>
          <w:szCs w:val="32"/>
          <w:lang w:val="en-US" w:eastAsia="zh-CN" w:bidi="ar"/>
        </w:rPr>
        <w:t>建议</w:t>
      </w:r>
      <w:bookmarkEnd w:id="82"/>
      <w:bookmarkEnd w:id="83"/>
      <w:bookmarkEnd w:id="84"/>
      <w:bookmarkEnd w:id="85"/>
      <w:bookmarkEnd w:id="86"/>
      <w:bookmarkEnd w:id="87"/>
    </w:p>
    <w:p>
      <w:pPr>
        <w:keepNext w:val="0"/>
        <w:keepLines w:val="0"/>
        <w:pageBreakBefore w:val="0"/>
        <w:widowControl/>
        <w:numPr>
          <w:ilvl w:val="0"/>
          <w:numId w:val="12"/>
        </w:numPr>
        <w:suppressLineNumbers w:val="0"/>
        <w:kinsoku/>
        <w:wordWrap/>
        <w:overflowPunct/>
        <w:topLinePunct w:val="0"/>
        <w:autoSpaceDE/>
        <w:autoSpaceDN/>
        <w:bidi w:val="0"/>
        <w:adjustRightInd/>
        <w:snapToGrid/>
        <w:ind w:left="-6" w:leftChars="0" w:firstLine="638" w:firstLineChars="0"/>
        <w:jc w:val="both"/>
        <w:textAlignment w:val="auto"/>
        <w:rPr>
          <w:sz w:val="32"/>
          <w:szCs w:val="32"/>
        </w:rPr>
      </w:pPr>
      <w:r>
        <w:rPr>
          <w:rFonts w:ascii="仿宋" w:hAnsi="仿宋" w:eastAsia="仿宋" w:cs="仿宋"/>
          <w:color w:val="000000"/>
          <w:kern w:val="0"/>
          <w:sz w:val="32"/>
          <w:szCs w:val="32"/>
          <w:lang w:val="en-US" w:eastAsia="zh-CN" w:bidi="ar"/>
        </w:rPr>
        <w:t>要加强学习全面实施绩效管理的政策法规，严</w:t>
      </w:r>
      <w:r>
        <w:rPr>
          <w:rFonts w:hint="eastAsia" w:ascii="仿宋" w:hAnsi="仿宋" w:eastAsia="仿宋" w:cs="仿宋"/>
          <w:color w:val="000000"/>
          <w:kern w:val="0"/>
          <w:sz w:val="32"/>
          <w:szCs w:val="32"/>
          <w:lang w:val="en-US" w:eastAsia="zh-CN" w:bidi="ar"/>
        </w:rPr>
        <w:t>格执行《</w:t>
      </w:r>
      <w:r>
        <w:rPr>
          <w:rFonts w:hint="eastAsia" w:ascii="仿宋" w:hAnsi="仿宋" w:eastAsia="仿宋" w:cs="仿宋"/>
          <w:b w:val="0"/>
          <w:bCs w:val="0"/>
          <w:color w:val="000000"/>
          <w:kern w:val="0"/>
          <w:sz w:val="32"/>
          <w:szCs w:val="32"/>
          <w:lang w:val="en-US" w:eastAsia="zh-CN" w:bidi="ar"/>
        </w:rPr>
        <w:t>绥德县全面实施预算绩效管理的实施方案</w:t>
      </w:r>
      <w:r>
        <w:rPr>
          <w:rFonts w:hint="eastAsia" w:ascii="仿宋" w:hAnsi="仿宋" w:eastAsia="仿宋" w:cs="仿宋"/>
          <w:color w:val="000000"/>
          <w:kern w:val="0"/>
          <w:sz w:val="32"/>
          <w:szCs w:val="32"/>
          <w:lang w:val="en-US" w:eastAsia="zh-CN" w:bidi="ar"/>
        </w:rPr>
        <w:t>》，积极主动申报绩效目标，确保所有财政性资金纳入绩效管理。</w:t>
      </w:r>
    </w:p>
    <w:p>
      <w:pPr>
        <w:keepNext w:val="0"/>
        <w:keepLines w:val="0"/>
        <w:pageBreakBefore w:val="0"/>
        <w:numPr>
          <w:ilvl w:val="0"/>
          <w:numId w:val="12"/>
        </w:numPr>
        <w:tabs>
          <w:tab w:val="left" w:pos="1446"/>
        </w:tabs>
        <w:kinsoku/>
        <w:wordWrap/>
        <w:overflowPunct/>
        <w:topLinePunct w:val="0"/>
        <w:autoSpaceDE/>
        <w:autoSpaceDN/>
        <w:bidi w:val="0"/>
        <w:adjustRightInd/>
        <w:snapToGrid/>
        <w:ind w:left="-6" w:leftChars="0" w:firstLine="640" w:firstLineChars="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严格按照的验收流程进行验收，并撰写验收报告，并及时进行公示公告。</w:t>
      </w:r>
    </w:p>
    <w:p>
      <w:pPr>
        <w:rPr>
          <w:rFonts w:hint="default" w:ascii="仿宋" w:hAnsi="仿宋" w:eastAsia="仿宋" w:cs="仿宋"/>
          <w:b w:val="0"/>
          <w:bCs w:val="0"/>
          <w:color w:val="000000"/>
          <w:kern w:val="0"/>
          <w:sz w:val="32"/>
          <w:szCs w:val="32"/>
          <w:lang w:val="en-US" w:eastAsia="zh-CN" w:bidi="ar"/>
        </w:rPr>
      </w:pPr>
    </w:p>
    <w:p>
      <w:pPr>
        <w:keepNext w:val="0"/>
        <w:keepLines w:val="0"/>
        <w:pageBreakBefore w:val="0"/>
        <w:numPr>
          <w:ilvl w:val="0"/>
          <w:numId w:val="12"/>
        </w:numPr>
        <w:tabs>
          <w:tab w:val="left" w:pos="1446"/>
        </w:tabs>
        <w:kinsoku/>
        <w:wordWrap/>
        <w:overflowPunct/>
        <w:topLinePunct w:val="0"/>
        <w:autoSpaceDE/>
        <w:autoSpaceDN/>
        <w:bidi w:val="0"/>
        <w:adjustRightInd/>
        <w:snapToGrid/>
        <w:ind w:left="-6" w:leftChars="0" w:firstLine="640" w:firstLineChars="0"/>
        <w:jc w:val="both"/>
        <w:textAlignment w:val="auto"/>
        <w:rPr>
          <w:rFonts w:hint="default" w:ascii="仿宋" w:hAnsi="仿宋" w:eastAsia="仿宋" w:cs="仿宋"/>
          <w:b w:val="0"/>
          <w:bCs w:val="0"/>
          <w:color w:val="000000"/>
          <w:kern w:val="0"/>
          <w:sz w:val="32"/>
          <w:szCs w:val="32"/>
          <w:lang w:val="en-US" w:eastAsia="zh-CN" w:bidi="ar"/>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72" w:line="224" w:lineRule="auto"/>
        <w:ind w:firstLine="0" w:firstLineChars="0"/>
        <w:jc w:val="center"/>
        <w:textAlignment w:val="auto"/>
        <w:outlineLvl w:val="0"/>
        <w:rPr>
          <w:rFonts w:hint="eastAsia" w:eastAsia="宋体"/>
          <w:sz w:val="35"/>
          <w:szCs w:val="35"/>
          <w:lang w:eastAsia="zh-CN"/>
        </w:rPr>
      </w:pPr>
      <w:bookmarkStart w:id="88" w:name="_Toc29638"/>
      <w:r>
        <w:rPr>
          <w:rFonts w:hint="eastAsia"/>
          <w:spacing w:val="9"/>
          <w:sz w:val="35"/>
          <w:szCs w:val="35"/>
          <w:lang w:eastAsia="zh-CN"/>
        </w:rPr>
        <w:t>绥德县</w:t>
      </w:r>
      <w:r>
        <w:rPr>
          <w:rFonts w:hint="eastAsia"/>
          <w:spacing w:val="9"/>
          <w:sz w:val="35"/>
          <w:szCs w:val="35"/>
          <w:lang w:val="en-US" w:eastAsia="zh-CN"/>
        </w:rPr>
        <w:t>融媒体中心广播电视播出系统项目</w:t>
      </w:r>
      <w:r>
        <w:rPr>
          <w:spacing w:val="9"/>
          <w:sz w:val="35"/>
          <w:szCs w:val="35"/>
        </w:rPr>
        <w:t>绩效评价指标框架表</w:t>
      </w:r>
      <w:r>
        <w:rPr>
          <w:rFonts w:hint="eastAsia"/>
          <w:spacing w:val="9"/>
          <w:sz w:val="21"/>
          <w:szCs w:val="21"/>
          <w:lang w:eastAsia="zh-CN"/>
        </w:rPr>
        <w:t>（</w:t>
      </w:r>
      <w:r>
        <w:rPr>
          <w:rFonts w:hint="eastAsia"/>
          <w:spacing w:val="9"/>
          <w:sz w:val="21"/>
          <w:szCs w:val="21"/>
          <w:lang w:val="en-US" w:eastAsia="zh-CN"/>
        </w:rPr>
        <w:t>表1</w:t>
      </w:r>
      <w:r>
        <w:rPr>
          <w:rFonts w:hint="eastAsia"/>
          <w:spacing w:val="9"/>
          <w:sz w:val="21"/>
          <w:szCs w:val="21"/>
          <w:lang w:eastAsia="zh-CN"/>
        </w:rPr>
        <w:t>）</w:t>
      </w:r>
      <w:bookmarkEnd w:id="88"/>
    </w:p>
    <w:p>
      <w:pPr>
        <w:spacing w:line="64" w:lineRule="exact"/>
        <w:jc w:val="center"/>
      </w:pPr>
    </w:p>
    <w:tbl>
      <w:tblPr>
        <w:tblStyle w:val="12"/>
        <w:tblW w:w="502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40"/>
        <w:gridCol w:w="905"/>
        <w:gridCol w:w="1636"/>
        <w:gridCol w:w="2580"/>
        <w:gridCol w:w="5927"/>
        <w:gridCol w:w="824"/>
        <w:gridCol w:w="748"/>
        <w:gridCol w:w="1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321" w:type="pct"/>
            <w:tcBorders>
              <w:bottom w:val="single" w:color="000000" w:sz="6" w:space="0"/>
            </w:tcBorders>
            <w:noWrap w:val="0"/>
            <w:vAlign w:val="center"/>
          </w:tcPr>
          <w:p>
            <w:pPr>
              <w:pStyle w:val="11"/>
              <w:spacing w:before="188" w:line="234" w:lineRule="auto"/>
              <w:ind w:right="65"/>
              <w:jc w:val="center"/>
              <w:rPr>
                <w:rFonts w:hint="eastAsia" w:ascii="宋体" w:hAnsi="宋体" w:eastAsia="宋体" w:cs="宋体"/>
                <w:spacing w:val="0"/>
                <w:sz w:val="21"/>
                <w:szCs w:val="21"/>
              </w:rPr>
            </w:pPr>
            <w:r>
              <w:rPr>
                <w:rFonts w:hint="eastAsia" w:ascii="宋体" w:hAnsi="宋体" w:eastAsia="宋体" w:cs="宋体"/>
                <w:spacing w:val="0"/>
                <w:sz w:val="21"/>
                <w:szCs w:val="21"/>
              </w:rPr>
              <w:t>一级指标</w:t>
            </w:r>
          </w:p>
        </w:tc>
        <w:tc>
          <w:tcPr>
            <w:tcW w:w="309" w:type="pct"/>
            <w:tcBorders>
              <w:bottom w:val="single" w:color="000000" w:sz="6" w:space="0"/>
            </w:tcBorders>
            <w:noWrap w:val="0"/>
            <w:vAlign w:val="center"/>
          </w:tcPr>
          <w:p>
            <w:pPr>
              <w:pStyle w:val="11"/>
              <w:spacing w:before="188" w:line="234" w:lineRule="auto"/>
              <w:ind w:right="35"/>
              <w:jc w:val="center"/>
              <w:rPr>
                <w:rFonts w:hint="eastAsia" w:ascii="宋体" w:hAnsi="宋体" w:eastAsia="宋体" w:cs="宋体"/>
                <w:spacing w:val="0"/>
                <w:sz w:val="21"/>
                <w:szCs w:val="21"/>
              </w:rPr>
            </w:pPr>
            <w:r>
              <w:rPr>
                <w:rFonts w:hint="eastAsia" w:ascii="宋体" w:hAnsi="宋体" w:eastAsia="宋体" w:cs="宋体"/>
                <w:spacing w:val="0"/>
                <w:sz w:val="21"/>
                <w:szCs w:val="21"/>
              </w:rPr>
              <w:t>二级指标</w:t>
            </w:r>
          </w:p>
        </w:tc>
        <w:tc>
          <w:tcPr>
            <w:tcW w:w="558" w:type="pct"/>
            <w:tcBorders>
              <w:bottom w:val="single" w:color="000000" w:sz="6" w:space="0"/>
            </w:tcBorders>
            <w:noWrap w:val="0"/>
            <w:vAlign w:val="center"/>
          </w:tcPr>
          <w:p>
            <w:pPr>
              <w:pStyle w:val="11"/>
              <w:spacing w:before="62" w:line="229"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三级指标</w:t>
            </w:r>
          </w:p>
        </w:tc>
        <w:tc>
          <w:tcPr>
            <w:tcW w:w="880" w:type="pct"/>
            <w:tcBorders>
              <w:bottom w:val="single" w:color="000000" w:sz="6" w:space="0"/>
            </w:tcBorders>
            <w:noWrap w:val="0"/>
            <w:vAlign w:val="center"/>
          </w:tcPr>
          <w:p>
            <w:pPr>
              <w:pStyle w:val="11"/>
              <w:spacing w:before="61"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指标解释</w:t>
            </w:r>
          </w:p>
        </w:tc>
        <w:tc>
          <w:tcPr>
            <w:tcW w:w="2022" w:type="pct"/>
            <w:tcBorders>
              <w:bottom w:val="single" w:color="000000" w:sz="6" w:space="0"/>
            </w:tcBorders>
            <w:noWrap w:val="0"/>
            <w:vAlign w:val="center"/>
          </w:tcPr>
          <w:p>
            <w:pPr>
              <w:pStyle w:val="11"/>
              <w:spacing w:before="62" w:line="227"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评价标准</w:t>
            </w:r>
          </w:p>
        </w:tc>
        <w:tc>
          <w:tcPr>
            <w:tcW w:w="281" w:type="pct"/>
            <w:tcBorders>
              <w:bottom w:val="single" w:color="000000" w:sz="6" w:space="0"/>
            </w:tcBorders>
            <w:noWrap w:val="0"/>
            <w:vAlign w:val="center"/>
          </w:tcPr>
          <w:p>
            <w:pPr>
              <w:pStyle w:val="11"/>
              <w:spacing w:before="61"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分值</w:t>
            </w:r>
          </w:p>
        </w:tc>
        <w:tc>
          <w:tcPr>
            <w:tcW w:w="255" w:type="pct"/>
            <w:tcBorders>
              <w:bottom w:val="single" w:color="000000" w:sz="6" w:space="0"/>
            </w:tcBorders>
            <w:noWrap w:val="0"/>
            <w:vAlign w:val="center"/>
          </w:tcPr>
          <w:p>
            <w:pPr>
              <w:pStyle w:val="11"/>
              <w:spacing w:before="61" w:line="228" w:lineRule="auto"/>
              <w:jc w:val="center"/>
              <w:rPr>
                <w:rFonts w:hint="eastAsia" w:ascii="宋体" w:hAnsi="宋体" w:eastAsia="宋体" w:cs="宋体"/>
                <w:spacing w:val="0"/>
                <w:sz w:val="21"/>
                <w:szCs w:val="21"/>
                <w:lang w:val="en-US" w:eastAsia="zh-CN"/>
              </w:rPr>
            </w:pPr>
            <w:r>
              <w:rPr>
                <w:rFonts w:hint="eastAsia" w:cs="宋体"/>
                <w:spacing w:val="0"/>
                <w:sz w:val="21"/>
                <w:szCs w:val="21"/>
                <w:lang w:val="en-US" w:eastAsia="zh-CN"/>
              </w:rPr>
              <w:t>得分</w:t>
            </w:r>
          </w:p>
        </w:tc>
        <w:tc>
          <w:tcPr>
            <w:tcW w:w="370" w:type="pct"/>
            <w:tcBorders>
              <w:bottom w:val="single" w:color="000000" w:sz="6" w:space="0"/>
            </w:tcBorders>
            <w:noWrap w:val="0"/>
            <w:vAlign w:val="center"/>
          </w:tcPr>
          <w:p>
            <w:pPr>
              <w:pStyle w:val="11"/>
              <w:spacing w:before="62" w:line="23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trPr>
        <w:tc>
          <w:tcPr>
            <w:tcW w:w="321" w:type="pct"/>
            <w:vMerge w:val="restart"/>
            <w:tcBorders>
              <w:top w:val="single" w:color="000000" w:sz="6" w:space="0"/>
              <w:bottom w:val="single" w:color="000000" w:sz="6" w:space="0"/>
            </w:tcBorders>
            <w:noWrap w:val="0"/>
            <w:vAlign w:val="center"/>
          </w:tcPr>
          <w:p>
            <w:pPr>
              <w:pStyle w:val="11"/>
              <w:spacing w:before="62"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项目管</w:t>
            </w:r>
          </w:p>
          <w:p>
            <w:pPr>
              <w:pStyle w:val="11"/>
              <w:spacing w:before="11" w:line="234" w:lineRule="auto"/>
              <w:ind w:left="188" w:right="67" w:hanging="100"/>
              <w:jc w:val="center"/>
              <w:rPr>
                <w:rFonts w:hint="eastAsia" w:ascii="宋体" w:hAnsi="宋体" w:eastAsia="宋体" w:cs="宋体"/>
                <w:spacing w:val="0"/>
                <w:sz w:val="21"/>
                <w:szCs w:val="21"/>
              </w:rPr>
            </w:pPr>
            <w:r>
              <w:rPr>
                <w:rFonts w:hint="eastAsia" w:ascii="宋体" w:hAnsi="宋体" w:eastAsia="宋体" w:cs="宋体"/>
                <w:spacing w:val="0"/>
                <w:sz w:val="21"/>
                <w:szCs w:val="21"/>
              </w:rPr>
              <w:t>理（10分）</w:t>
            </w:r>
          </w:p>
        </w:tc>
        <w:tc>
          <w:tcPr>
            <w:tcW w:w="309" w:type="pct"/>
            <w:vMerge w:val="restart"/>
            <w:tcBorders>
              <w:top w:val="single" w:color="000000" w:sz="6" w:space="0"/>
              <w:bottom w:val="single" w:color="000000" w:sz="6" w:space="0"/>
            </w:tcBorders>
            <w:noWrap w:val="0"/>
            <w:vAlign w:val="center"/>
          </w:tcPr>
          <w:p>
            <w:pPr>
              <w:pStyle w:val="11"/>
              <w:spacing w:before="62" w:line="229"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资金支付（10分）</w:t>
            </w:r>
          </w:p>
        </w:tc>
        <w:tc>
          <w:tcPr>
            <w:tcW w:w="558" w:type="pct"/>
            <w:tcBorders>
              <w:top w:val="single" w:color="000000" w:sz="6" w:space="0"/>
              <w:bottom w:val="single" w:color="000000" w:sz="6" w:space="0"/>
            </w:tcBorders>
            <w:noWrap w:val="0"/>
            <w:vAlign w:val="center"/>
          </w:tcPr>
          <w:p>
            <w:pPr>
              <w:pStyle w:val="11"/>
              <w:spacing w:before="62"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资金支付率</w:t>
            </w:r>
          </w:p>
        </w:tc>
        <w:tc>
          <w:tcPr>
            <w:tcW w:w="880" w:type="pct"/>
            <w:tcBorders>
              <w:top w:val="single" w:color="000000" w:sz="6" w:space="0"/>
              <w:bottom w:val="single" w:color="000000" w:sz="6" w:space="0"/>
            </w:tcBorders>
            <w:noWrap w:val="0"/>
            <w:vAlign w:val="center"/>
          </w:tcPr>
          <w:p>
            <w:pPr>
              <w:pStyle w:val="11"/>
              <w:spacing w:before="62"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资金支付率=实际支付/项目到位资金×100%</w:t>
            </w:r>
          </w:p>
        </w:tc>
        <w:tc>
          <w:tcPr>
            <w:tcW w:w="2022" w:type="pct"/>
            <w:tcBorders>
              <w:top w:val="single" w:color="000000" w:sz="6" w:space="0"/>
              <w:bottom w:val="single" w:color="000000" w:sz="6" w:space="0"/>
            </w:tcBorders>
            <w:noWrap w:val="0"/>
            <w:vAlign w:val="top"/>
          </w:tcPr>
          <w:p>
            <w:pPr>
              <w:pStyle w:val="11"/>
              <w:spacing w:before="292" w:line="236" w:lineRule="auto"/>
              <w:ind w:right="94"/>
              <w:jc w:val="both"/>
              <w:rPr>
                <w:rFonts w:hint="eastAsia" w:ascii="宋体" w:hAnsi="宋体" w:eastAsia="宋体" w:cs="宋体"/>
                <w:spacing w:val="0"/>
                <w:sz w:val="21"/>
                <w:szCs w:val="21"/>
              </w:rPr>
            </w:pPr>
            <w:r>
              <w:rPr>
                <w:rFonts w:hint="eastAsia" w:ascii="宋体" w:hAnsi="宋体" w:eastAsia="宋体" w:cs="宋体"/>
                <w:spacing w:val="0"/>
                <w:sz w:val="21"/>
                <w:szCs w:val="21"/>
              </w:rPr>
              <w:t>根据项目实际到位资金占支付的比重计算得分，95%以上得（8分），95%至90%得（6分），90%至85%得（4分）.85%至80%得（3分），80%至70%得（1分），70%以下不得分。</w:t>
            </w:r>
          </w:p>
        </w:tc>
        <w:tc>
          <w:tcPr>
            <w:tcW w:w="281" w:type="pct"/>
            <w:tcBorders>
              <w:top w:val="single" w:color="000000" w:sz="6" w:space="0"/>
              <w:bottom w:val="single" w:color="000000" w:sz="6" w:space="0"/>
            </w:tcBorders>
            <w:noWrap w:val="0"/>
            <w:vAlign w:val="center"/>
          </w:tcPr>
          <w:p>
            <w:pPr>
              <w:pStyle w:val="11"/>
              <w:spacing w:before="62" w:line="189" w:lineRule="auto"/>
              <w:jc w:val="center"/>
              <w:rPr>
                <w:rFonts w:hint="default" w:ascii="宋体" w:hAnsi="宋体" w:eastAsia="宋体" w:cs="宋体"/>
                <w:spacing w:val="0"/>
                <w:sz w:val="21"/>
                <w:szCs w:val="21"/>
                <w:lang w:val="en-US" w:eastAsia="zh-CN"/>
              </w:rPr>
            </w:pPr>
            <w:r>
              <w:rPr>
                <w:rFonts w:hint="eastAsia" w:cs="宋体"/>
                <w:spacing w:val="0"/>
                <w:sz w:val="21"/>
                <w:szCs w:val="21"/>
                <w:lang w:val="en-US" w:eastAsia="zh-CN"/>
              </w:rPr>
              <w:t>8</w:t>
            </w:r>
          </w:p>
        </w:tc>
        <w:tc>
          <w:tcPr>
            <w:tcW w:w="255" w:type="pct"/>
            <w:tcBorders>
              <w:top w:val="single" w:color="000000" w:sz="6" w:space="0"/>
              <w:bottom w:val="single" w:color="000000" w:sz="6" w:space="0"/>
            </w:tcBorders>
            <w:noWrap w:val="0"/>
            <w:vAlign w:val="center"/>
          </w:tcPr>
          <w:p>
            <w:pPr>
              <w:pStyle w:val="11"/>
              <w:spacing w:before="62" w:line="189" w:lineRule="auto"/>
              <w:jc w:val="center"/>
              <w:rPr>
                <w:rFonts w:hint="default" w:ascii="宋体" w:hAnsi="宋体" w:eastAsia="宋体" w:cs="宋体"/>
                <w:spacing w:val="0"/>
                <w:sz w:val="21"/>
                <w:szCs w:val="21"/>
                <w:lang w:val="en-US" w:eastAsia="zh-CN"/>
              </w:rPr>
            </w:pPr>
            <w:r>
              <w:rPr>
                <w:rFonts w:hint="eastAsia" w:cs="宋体"/>
                <w:spacing w:val="0"/>
                <w:sz w:val="21"/>
                <w:szCs w:val="21"/>
                <w:lang w:val="en-US" w:eastAsia="zh-CN"/>
              </w:rPr>
              <w:t>1</w:t>
            </w:r>
          </w:p>
        </w:tc>
        <w:tc>
          <w:tcPr>
            <w:tcW w:w="370" w:type="pct"/>
            <w:tcBorders>
              <w:top w:val="single" w:color="000000" w:sz="6" w:space="0"/>
              <w:bottom w:val="single" w:color="000000" w:sz="6" w:space="0"/>
            </w:tcBorders>
            <w:noWrap w:val="0"/>
            <w:vAlign w:val="center"/>
          </w:tcPr>
          <w:p>
            <w:pPr>
              <w:jc w:val="both"/>
              <w:rPr>
                <w:rFonts w:hint="eastAsia" w:ascii="宋体" w:hAnsi="宋体" w:eastAsia="宋体" w:cs="宋体"/>
                <w:spacing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top"/>
          </w:tcPr>
          <w:p>
            <w:pPr>
              <w:pStyle w:val="11"/>
              <w:spacing w:before="272" w:line="228"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资金支付及时性</w:t>
            </w:r>
          </w:p>
        </w:tc>
        <w:tc>
          <w:tcPr>
            <w:tcW w:w="880" w:type="pct"/>
            <w:tcBorders>
              <w:top w:val="single" w:color="000000" w:sz="6" w:space="0"/>
              <w:bottom w:val="single" w:color="000000" w:sz="6" w:space="0"/>
            </w:tcBorders>
            <w:noWrap w:val="0"/>
            <w:vAlign w:val="center"/>
          </w:tcPr>
          <w:p>
            <w:pPr>
              <w:pStyle w:val="11"/>
              <w:spacing w:before="148" w:line="234" w:lineRule="auto"/>
              <w:ind w:right="25"/>
              <w:jc w:val="center"/>
              <w:rPr>
                <w:rFonts w:hint="eastAsia" w:ascii="宋体" w:hAnsi="宋体" w:eastAsia="宋体" w:cs="宋体"/>
                <w:spacing w:val="0"/>
                <w:sz w:val="21"/>
                <w:szCs w:val="21"/>
              </w:rPr>
            </w:pPr>
            <w:r>
              <w:rPr>
                <w:rFonts w:hint="eastAsia" w:ascii="宋体" w:hAnsi="宋体" w:eastAsia="宋体" w:cs="宋体"/>
                <w:spacing w:val="0"/>
                <w:sz w:val="21"/>
                <w:szCs w:val="21"/>
              </w:rPr>
              <w:t>资金是否及时到位；若未及时到位，是否影响项目进度</w:t>
            </w:r>
          </w:p>
        </w:tc>
        <w:tc>
          <w:tcPr>
            <w:tcW w:w="2022" w:type="pct"/>
            <w:tcBorders>
              <w:top w:val="single" w:color="000000" w:sz="6" w:space="0"/>
              <w:bottom w:val="single" w:color="000000" w:sz="6" w:space="0"/>
            </w:tcBorders>
            <w:noWrap w:val="0"/>
            <w:vAlign w:val="top"/>
          </w:tcPr>
          <w:p>
            <w:pPr>
              <w:pStyle w:val="11"/>
              <w:spacing w:before="147" w:line="234" w:lineRule="auto"/>
              <w:ind w:left="44" w:right="69" w:hanging="3"/>
              <w:jc w:val="both"/>
              <w:rPr>
                <w:rFonts w:hint="eastAsia" w:ascii="宋体" w:hAnsi="宋体" w:eastAsia="宋体" w:cs="宋体"/>
                <w:spacing w:val="0"/>
                <w:sz w:val="21"/>
                <w:szCs w:val="21"/>
              </w:rPr>
            </w:pPr>
            <w:r>
              <w:rPr>
                <w:rFonts w:hint="eastAsia" w:ascii="宋体" w:hAnsi="宋体" w:eastAsia="宋体" w:cs="宋体"/>
                <w:spacing w:val="0"/>
                <w:sz w:val="21"/>
                <w:szCs w:val="21"/>
              </w:rPr>
              <w:t>及时支付（2分），未及时支付但未影响项目进度（1分），未及时支付并影响项目进度不得分。</w:t>
            </w:r>
          </w:p>
        </w:tc>
        <w:tc>
          <w:tcPr>
            <w:tcW w:w="281" w:type="pct"/>
            <w:tcBorders>
              <w:top w:val="single" w:color="000000" w:sz="6" w:space="0"/>
              <w:bottom w:val="single" w:color="000000" w:sz="6" w:space="0"/>
            </w:tcBorders>
            <w:noWrap w:val="0"/>
            <w:vAlign w:val="center"/>
          </w:tcPr>
          <w:p>
            <w:pPr>
              <w:pStyle w:val="11"/>
              <w:spacing w:before="62" w:line="189" w:lineRule="auto"/>
              <w:jc w:val="center"/>
              <w:rPr>
                <w:rFonts w:hint="eastAsia" w:ascii="宋体" w:hAnsi="宋体" w:eastAsia="宋体" w:cs="宋体"/>
                <w:spacing w:val="0"/>
                <w:sz w:val="21"/>
                <w:szCs w:val="21"/>
                <w:lang w:val="en-US" w:eastAsia="zh-CN"/>
              </w:rPr>
            </w:pPr>
            <w:r>
              <w:rPr>
                <w:rFonts w:hint="eastAsia" w:cs="宋体"/>
                <w:spacing w:val="0"/>
                <w:sz w:val="21"/>
                <w:szCs w:val="21"/>
                <w:lang w:val="en-US" w:eastAsia="zh-CN"/>
              </w:rPr>
              <w:t>2</w:t>
            </w:r>
          </w:p>
        </w:tc>
        <w:tc>
          <w:tcPr>
            <w:tcW w:w="255" w:type="pct"/>
            <w:tcBorders>
              <w:top w:val="single" w:color="000000" w:sz="6" w:space="0"/>
              <w:bottom w:val="single" w:color="000000" w:sz="6" w:space="0"/>
            </w:tcBorders>
            <w:noWrap w:val="0"/>
            <w:vAlign w:val="center"/>
          </w:tcPr>
          <w:p>
            <w:pPr>
              <w:pStyle w:val="11"/>
              <w:spacing w:before="62" w:line="189" w:lineRule="auto"/>
              <w:jc w:val="center"/>
              <w:rPr>
                <w:rFonts w:hint="default" w:cs="宋体"/>
                <w:spacing w:val="0"/>
                <w:sz w:val="21"/>
                <w:szCs w:val="21"/>
                <w:lang w:val="en-US" w:eastAsia="zh-CN"/>
              </w:rPr>
            </w:pPr>
            <w:r>
              <w:rPr>
                <w:rFonts w:hint="eastAsia" w:cs="宋体"/>
                <w:spacing w:val="0"/>
                <w:sz w:val="21"/>
                <w:szCs w:val="21"/>
                <w:lang w:val="en-US" w:eastAsia="zh-CN"/>
              </w:rPr>
              <w:t>2</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321" w:type="pct"/>
            <w:vMerge w:val="restart"/>
            <w:tcBorders>
              <w:top w:val="single" w:color="000000" w:sz="6" w:space="0"/>
              <w:bottom w:val="single" w:color="000000" w:sz="6" w:space="0"/>
            </w:tcBorders>
            <w:noWrap w:val="0"/>
            <w:vAlign w:val="center"/>
          </w:tcPr>
          <w:p>
            <w:pPr>
              <w:pStyle w:val="11"/>
              <w:spacing w:before="61" w:line="229"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组织实施（</w:t>
            </w:r>
            <w:r>
              <w:rPr>
                <w:rFonts w:hint="eastAsia" w:cs="宋体"/>
                <w:spacing w:val="0"/>
                <w:sz w:val="21"/>
                <w:szCs w:val="21"/>
                <w:lang w:val="en-US" w:eastAsia="zh-CN"/>
              </w:rPr>
              <w:t>41</w:t>
            </w:r>
            <w:r>
              <w:rPr>
                <w:rFonts w:hint="eastAsia" w:ascii="宋体" w:hAnsi="宋体" w:eastAsia="宋体" w:cs="宋体"/>
                <w:spacing w:val="0"/>
                <w:sz w:val="21"/>
                <w:szCs w:val="21"/>
              </w:rPr>
              <w:t>分）</w:t>
            </w:r>
          </w:p>
        </w:tc>
        <w:tc>
          <w:tcPr>
            <w:tcW w:w="309" w:type="pct"/>
            <w:vMerge w:val="restart"/>
            <w:tcBorders>
              <w:top w:val="single" w:color="000000" w:sz="6" w:space="0"/>
              <w:bottom w:val="single" w:color="000000" w:sz="6" w:space="0"/>
            </w:tcBorders>
            <w:noWrap w:val="0"/>
            <w:vAlign w:val="center"/>
          </w:tcPr>
          <w:p>
            <w:pPr>
              <w:pStyle w:val="11"/>
              <w:spacing w:before="62" w:line="236" w:lineRule="auto"/>
              <w:ind w:right="34"/>
              <w:jc w:val="center"/>
              <w:rPr>
                <w:rFonts w:hint="eastAsia" w:ascii="宋体" w:hAnsi="宋体" w:eastAsia="宋体" w:cs="宋体"/>
                <w:spacing w:val="0"/>
                <w:sz w:val="21"/>
                <w:szCs w:val="21"/>
              </w:rPr>
            </w:pPr>
            <w:r>
              <w:rPr>
                <w:rFonts w:hint="eastAsia" w:ascii="宋体" w:hAnsi="宋体" w:eastAsia="宋体" w:cs="宋体"/>
                <w:spacing w:val="0"/>
                <w:sz w:val="21"/>
                <w:szCs w:val="21"/>
              </w:rPr>
              <w:t>项目实施情况（</w:t>
            </w:r>
            <w:r>
              <w:rPr>
                <w:rFonts w:hint="eastAsia" w:cs="宋体"/>
                <w:spacing w:val="0"/>
                <w:sz w:val="21"/>
                <w:szCs w:val="21"/>
                <w:lang w:val="en-US" w:eastAsia="zh-CN"/>
              </w:rPr>
              <w:t>41</w:t>
            </w:r>
            <w:r>
              <w:rPr>
                <w:rFonts w:hint="eastAsia" w:ascii="宋体" w:hAnsi="宋体" w:eastAsia="宋体" w:cs="宋体"/>
                <w:spacing w:val="0"/>
                <w:sz w:val="21"/>
                <w:szCs w:val="21"/>
              </w:rPr>
              <w:t>分</w:t>
            </w:r>
            <w:r>
              <w:rPr>
                <w:rFonts w:hint="eastAsia" w:cs="宋体"/>
                <w:spacing w:val="0"/>
                <w:sz w:val="21"/>
                <w:szCs w:val="21"/>
                <w:lang w:eastAsia="zh-CN"/>
              </w:rPr>
              <w:t>）</w:t>
            </w:r>
          </w:p>
        </w:tc>
        <w:tc>
          <w:tcPr>
            <w:tcW w:w="558" w:type="pct"/>
            <w:tcBorders>
              <w:top w:val="single" w:color="000000" w:sz="6" w:space="0"/>
              <w:bottom w:val="single" w:color="000000" w:sz="6" w:space="0"/>
            </w:tcBorders>
            <w:noWrap w:val="0"/>
            <w:vAlign w:val="center"/>
          </w:tcPr>
          <w:p>
            <w:pPr>
              <w:pStyle w:val="11"/>
              <w:spacing w:before="62" w:line="228" w:lineRule="auto"/>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sz w:val="21"/>
                <w:szCs w:val="21"/>
              </w:rPr>
              <w:t>项目绩效目标申报</w:t>
            </w:r>
          </w:p>
        </w:tc>
        <w:tc>
          <w:tcPr>
            <w:tcW w:w="880" w:type="pct"/>
            <w:tcBorders>
              <w:top w:val="single" w:color="000000" w:sz="6" w:space="0"/>
              <w:bottom w:val="single" w:color="000000" w:sz="6" w:space="0"/>
            </w:tcBorders>
            <w:noWrap w:val="0"/>
            <w:vAlign w:val="center"/>
          </w:tcPr>
          <w:p>
            <w:pPr>
              <w:pStyle w:val="11"/>
              <w:spacing w:before="62" w:line="228" w:lineRule="auto"/>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sz w:val="21"/>
                <w:szCs w:val="21"/>
              </w:rPr>
              <w:t>以上报绩效目标为准</w:t>
            </w:r>
          </w:p>
        </w:tc>
        <w:tc>
          <w:tcPr>
            <w:tcW w:w="2022" w:type="pct"/>
            <w:tcBorders>
              <w:top w:val="single" w:color="000000" w:sz="6" w:space="0"/>
              <w:bottom w:val="single" w:color="000000" w:sz="6" w:space="0"/>
            </w:tcBorders>
            <w:noWrap w:val="0"/>
            <w:vAlign w:val="center"/>
          </w:tcPr>
          <w:p>
            <w:pPr>
              <w:pStyle w:val="11"/>
              <w:spacing w:before="82" w:line="236" w:lineRule="auto"/>
              <w:ind w:left="46" w:leftChars="0" w:right="20" w:rightChars="0" w:hanging="3" w:firstLineChars="0"/>
              <w:jc w:val="both"/>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pacing w:val="0"/>
                <w:sz w:val="21"/>
                <w:szCs w:val="21"/>
              </w:rPr>
              <w:t>有绩效目标和申报及时性、量化程度、细化程度都较好并且公开得</w:t>
            </w:r>
            <w:r>
              <w:rPr>
                <w:rFonts w:hint="eastAsia" w:cs="宋体"/>
                <w:spacing w:val="0"/>
                <w:sz w:val="21"/>
                <w:szCs w:val="21"/>
                <w:lang w:val="en-US" w:eastAsia="zh-CN"/>
              </w:rPr>
              <w:t>6</w:t>
            </w:r>
            <w:r>
              <w:rPr>
                <w:rFonts w:hint="eastAsia" w:ascii="宋体" w:hAnsi="宋体" w:eastAsia="宋体" w:cs="宋体"/>
                <w:spacing w:val="0"/>
                <w:sz w:val="21"/>
                <w:szCs w:val="21"/>
              </w:rPr>
              <w:t>分；有未公开得2分；没细化、量化不够、不及时一处扣0.5分；无绩效目标不得分。</w:t>
            </w:r>
          </w:p>
        </w:tc>
        <w:tc>
          <w:tcPr>
            <w:tcW w:w="281" w:type="pct"/>
            <w:tcBorders>
              <w:top w:val="single" w:color="000000" w:sz="6" w:space="0"/>
              <w:bottom w:val="single" w:color="000000" w:sz="6" w:space="0"/>
            </w:tcBorders>
            <w:noWrap w:val="0"/>
            <w:vAlign w:val="center"/>
          </w:tcPr>
          <w:p>
            <w:pPr>
              <w:pStyle w:val="11"/>
              <w:spacing w:before="61" w:line="189" w:lineRule="auto"/>
              <w:jc w:val="center"/>
              <w:rPr>
                <w:rFonts w:hint="eastAsia"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6</w:t>
            </w:r>
          </w:p>
        </w:tc>
        <w:tc>
          <w:tcPr>
            <w:tcW w:w="255" w:type="pct"/>
            <w:tcBorders>
              <w:top w:val="single" w:color="000000" w:sz="6" w:space="0"/>
              <w:bottom w:val="single" w:color="000000" w:sz="6" w:space="0"/>
            </w:tcBorders>
            <w:noWrap w:val="0"/>
            <w:vAlign w:val="center"/>
          </w:tcPr>
          <w:p>
            <w:pPr>
              <w:pStyle w:val="11"/>
              <w:spacing w:before="61" w:line="189" w:lineRule="auto"/>
              <w:jc w:val="center"/>
              <w:rPr>
                <w:rFonts w:hint="default"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1</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pacing w:val="0"/>
                <w:sz w:val="21"/>
                <w:szCs w:val="21"/>
                <w:lang w:val="en-US" w:eastAsia="zh-CN"/>
              </w:rPr>
            </w:pPr>
            <w:r>
              <w:rPr>
                <w:rFonts w:hint="eastAsia" w:ascii="宋体" w:hAnsi="宋体" w:eastAsia="宋体" w:cs="宋体"/>
                <w:snapToGrid w:val="0"/>
                <w:color w:val="000000"/>
                <w:spacing w:val="0"/>
                <w:kern w:val="0"/>
                <w:sz w:val="21"/>
                <w:szCs w:val="21"/>
                <w:lang w:val="en-US" w:eastAsia="zh-CN" w:bidi="ar"/>
              </w:rPr>
              <w:t>项目绩效目标监控</w:t>
            </w:r>
          </w:p>
        </w:tc>
        <w:tc>
          <w:tcPr>
            <w:tcW w:w="880"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pacing w:val="0"/>
                <w:sz w:val="21"/>
                <w:szCs w:val="21"/>
                <w:lang w:val="en-US" w:eastAsia="zh-CN"/>
              </w:rPr>
            </w:pPr>
            <w:r>
              <w:rPr>
                <w:rFonts w:hint="eastAsia" w:ascii="宋体" w:hAnsi="宋体" w:eastAsia="宋体" w:cs="宋体"/>
                <w:snapToGrid w:val="0"/>
                <w:color w:val="000000"/>
                <w:spacing w:val="0"/>
                <w:kern w:val="0"/>
                <w:sz w:val="21"/>
                <w:szCs w:val="21"/>
                <w:lang w:val="en-US" w:eastAsia="zh-CN" w:bidi="ar"/>
              </w:rPr>
              <w:t>项目建设是否有及时进行绩效监控</w:t>
            </w:r>
          </w:p>
        </w:tc>
        <w:tc>
          <w:tcPr>
            <w:tcW w:w="2022" w:type="pct"/>
            <w:tcBorders>
              <w:top w:val="single" w:color="000000" w:sz="6" w:space="0"/>
              <w:bottom w:val="single" w:color="000000" w:sz="6" w:space="0"/>
            </w:tcBorders>
            <w:noWrap w:val="0"/>
            <w:vAlign w:val="center"/>
          </w:tcPr>
          <w:p>
            <w:pPr>
              <w:keepNext w:val="0"/>
              <w:keepLines w:val="0"/>
              <w:widowControl/>
              <w:suppressLineNumbers w:val="0"/>
              <w:jc w:val="both"/>
              <w:rPr>
                <w:rFonts w:hint="eastAsia" w:ascii="宋体" w:hAnsi="宋体" w:eastAsia="宋体" w:cs="宋体"/>
                <w:snapToGrid w:val="0"/>
                <w:color w:val="000000"/>
                <w:spacing w:val="0"/>
                <w:kern w:val="0"/>
                <w:sz w:val="21"/>
                <w:szCs w:val="21"/>
                <w:lang w:val="en-US" w:eastAsia="zh-CN" w:bidi="ar"/>
              </w:rPr>
            </w:pPr>
            <w:r>
              <w:rPr>
                <w:rFonts w:hint="eastAsia" w:ascii="宋体" w:hAnsi="宋体" w:eastAsia="宋体" w:cs="宋体"/>
                <w:snapToGrid w:val="0"/>
                <w:color w:val="000000"/>
                <w:spacing w:val="0"/>
                <w:kern w:val="0"/>
                <w:sz w:val="21"/>
                <w:szCs w:val="21"/>
                <w:lang w:val="en-US" w:eastAsia="zh-CN" w:bidi="ar"/>
              </w:rPr>
              <w:t>该项目实施中建立有绩效监控表得4分，没有不得分；绩效监控报告和表按时报送财政部门得2分，延时1天报送扣0.1分，扣完为止。</w:t>
            </w:r>
          </w:p>
        </w:tc>
        <w:tc>
          <w:tcPr>
            <w:tcW w:w="281" w:type="pct"/>
            <w:tcBorders>
              <w:top w:val="single" w:color="000000" w:sz="6" w:space="0"/>
              <w:bottom w:val="single" w:color="000000" w:sz="6" w:space="0"/>
            </w:tcBorders>
            <w:noWrap w:val="0"/>
            <w:vAlign w:val="center"/>
          </w:tcPr>
          <w:p>
            <w:pPr>
              <w:pStyle w:val="11"/>
              <w:spacing w:before="266" w:line="189" w:lineRule="auto"/>
              <w:jc w:val="center"/>
              <w:rPr>
                <w:rFonts w:hint="eastAsia" w:ascii="宋体" w:hAnsi="宋体" w:eastAsia="宋体" w:cs="宋体"/>
                <w:spacing w:val="0"/>
                <w:sz w:val="21"/>
                <w:szCs w:val="21"/>
                <w:lang w:val="en-US" w:eastAsia="zh-CN"/>
              </w:rPr>
            </w:pPr>
            <w:r>
              <w:rPr>
                <w:rFonts w:hint="eastAsia" w:cs="宋体"/>
                <w:spacing w:val="0"/>
                <w:sz w:val="21"/>
                <w:szCs w:val="21"/>
                <w:lang w:val="en-US" w:eastAsia="zh-CN"/>
              </w:rPr>
              <w:t>6</w:t>
            </w:r>
          </w:p>
        </w:tc>
        <w:tc>
          <w:tcPr>
            <w:tcW w:w="255" w:type="pct"/>
            <w:tcBorders>
              <w:top w:val="single" w:color="000000" w:sz="6" w:space="0"/>
              <w:bottom w:val="single" w:color="000000" w:sz="6" w:space="0"/>
            </w:tcBorders>
            <w:noWrap w:val="0"/>
            <w:vAlign w:val="center"/>
          </w:tcPr>
          <w:p>
            <w:pPr>
              <w:pStyle w:val="11"/>
              <w:spacing w:before="266" w:line="189" w:lineRule="auto"/>
              <w:ind w:left="268" w:leftChars="0"/>
              <w:jc w:val="both"/>
              <w:rPr>
                <w:rFonts w:hint="eastAsia" w:ascii="宋体" w:hAnsi="宋体" w:eastAsia="宋体" w:cs="宋体"/>
                <w:spacing w:val="0"/>
                <w:sz w:val="21"/>
                <w:szCs w:val="21"/>
                <w:lang w:val="en-US" w:eastAsia="zh-CN"/>
              </w:rPr>
            </w:pPr>
            <w:r>
              <w:rPr>
                <w:rFonts w:hint="eastAsia" w:cs="宋体"/>
                <w:spacing w:val="0"/>
                <w:sz w:val="21"/>
                <w:szCs w:val="21"/>
                <w:lang w:val="en-US" w:eastAsia="zh-CN"/>
              </w:rPr>
              <w:t>2</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center"/>
          </w:tcPr>
          <w:p>
            <w:pPr>
              <w:pStyle w:val="11"/>
              <w:spacing w:before="124" w:line="227" w:lineRule="auto"/>
              <w:jc w:val="center"/>
              <w:rPr>
                <w:rFonts w:hint="eastAsia" w:ascii="宋体" w:hAnsi="宋体" w:eastAsia="宋体" w:cs="宋体"/>
                <w:snapToGrid w:val="0"/>
                <w:color w:val="000000"/>
                <w:spacing w:val="0"/>
                <w:kern w:val="0"/>
                <w:sz w:val="21"/>
                <w:szCs w:val="21"/>
                <w:lang w:val="en-US" w:eastAsia="zh-CN" w:bidi="ar-SA"/>
              </w:rPr>
            </w:pPr>
            <w:r>
              <w:rPr>
                <w:rFonts w:hint="eastAsia" w:cs="宋体"/>
                <w:spacing w:val="0"/>
                <w:sz w:val="21"/>
                <w:szCs w:val="21"/>
                <w:lang w:val="en-US" w:eastAsia="zh-CN"/>
              </w:rPr>
              <w:t>项目绩效目标自评</w:t>
            </w:r>
          </w:p>
        </w:tc>
        <w:tc>
          <w:tcPr>
            <w:tcW w:w="880"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kern w:val="2"/>
                <w:sz w:val="21"/>
                <w:szCs w:val="21"/>
                <w:lang w:val="en-US" w:eastAsia="zh-CN" w:bidi="ar-SA"/>
              </w:rPr>
              <w:t>项目完成后及时做自评且按时公示</w:t>
            </w:r>
          </w:p>
        </w:tc>
        <w:tc>
          <w:tcPr>
            <w:tcW w:w="2022" w:type="pct"/>
            <w:tcBorders>
              <w:top w:val="single" w:color="000000" w:sz="6" w:space="0"/>
              <w:bottom w:val="single" w:color="000000" w:sz="6" w:space="0"/>
            </w:tcBorders>
            <w:noWrap w:val="0"/>
            <w:vAlign w:val="center"/>
          </w:tcPr>
          <w:p>
            <w:pPr>
              <w:keepNext w:val="0"/>
              <w:keepLines w:val="0"/>
              <w:widowControl/>
              <w:suppressLineNumbers w:val="0"/>
              <w:jc w:val="both"/>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kern w:val="2"/>
                <w:sz w:val="21"/>
                <w:szCs w:val="21"/>
                <w:lang w:val="en-US" w:eastAsia="zh-CN" w:bidi="ar-SA"/>
              </w:rPr>
              <w:t>项目完工或年度终，项目单位组织自评或聘请第三方进行评价得3分。自评指标设计合理且自评客观真实得2分。自评在政府门户网站公开公示得1分。无自评不得分。</w:t>
            </w:r>
          </w:p>
        </w:tc>
        <w:tc>
          <w:tcPr>
            <w:tcW w:w="281" w:type="pct"/>
            <w:tcBorders>
              <w:top w:val="single" w:color="000000" w:sz="6" w:space="0"/>
              <w:bottom w:val="single" w:color="000000" w:sz="6" w:space="0"/>
            </w:tcBorders>
            <w:noWrap w:val="0"/>
            <w:vAlign w:val="center"/>
          </w:tcPr>
          <w:p>
            <w:pPr>
              <w:pStyle w:val="11"/>
              <w:spacing w:before="156" w:line="189" w:lineRule="auto"/>
              <w:jc w:val="center"/>
              <w:rPr>
                <w:rFonts w:hint="eastAsia"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6</w:t>
            </w:r>
          </w:p>
        </w:tc>
        <w:tc>
          <w:tcPr>
            <w:tcW w:w="255" w:type="pct"/>
            <w:tcBorders>
              <w:top w:val="single" w:color="000000" w:sz="6" w:space="0"/>
              <w:bottom w:val="single" w:color="000000" w:sz="6" w:space="0"/>
            </w:tcBorders>
            <w:noWrap w:val="0"/>
            <w:vAlign w:val="center"/>
          </w:tcPr>
          <w:p>
            <w:pPr>
              <w:pStyle w:val="11"/>
              <w:spacing w:before="156" w:line="189" w:lineRule="auto"/>
              <w:ind w:left="265" w:leftChars="0"/>
              <w:jc w:val="both"/>
              <w:rPr>
                <w:rFonts w:hint="eastAsia"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1</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center"/>
          </w:tcPr>
          <w:p>
            <w:pPr>
              <w:pStyle w:val="11"/>
              <w:spacing w:before="235" w:line="229" w:lineRule="auto"/>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sz w:val="21"/>
                <w:szCs w:val="21"/>
                <w:lang w:val="en-US" w:eastAsia="zh-CN"/>
              </w:rPr>
              <w:t>合格率</w:t>
            </w:r>
          </w:p>
        </w:tc>
        <w:tc>
          <w:tcPr>
            <w:tcW w:w="880" w:type="pct"/>
            <w:tcBorders>
              <w:top w:val="single" w:color="000000" w:sz="6" w:space="0"/>
              <w:bottom w:val="single" w:color="000000" w:sz="6" w:space="0"/>
            </w:tcBorders>
            <w:noWrap w:val="0"/>
            <w:vAlign w:val="center"/>
          </w:tcPr>
          <w:p>
            <w:pPr>
              <w:pStyle w:val="11"/>
              <w:spacing w:before="235" w:line="228" w:lineRule="auto"/>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pacing w:val="0"/>
                <w:sz w:val="21"/>
                <w:szCs w:val="21"/>
                <w:lang w:val="en-US" w:eastAsia="zh-CN"/>
              </w:rPr>
              <w:t>质量合格情况</w:t>
            </w:r>
          </w:p>
        </w:tc>
        <w:tc>
          <w:tcPr>
            <w:tcW w:w="2022" w:type="pct"/>
            <w:tcBorders>
              <w:top w:val="single" w:color="000000" w:sz="6" w:space="0"/>
              <w:bottom w:val="single" w:color="000000" w:sz="6" w:space="0"/>
            </w:tcBorders>
            <w:noWrap w:val="0"/>
            <w:vAlign w:val="center"/>
          </w:tcPr>
          <w:p>
            <w:pPr>
              <w:keepNext w:val="0"/>
              <w:keepLines w:val="0"/>
              <w:widowControl/>
              <w:suppressLineNumbers w:val="0"/>
              <w:jc w:val="both"/>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
              </w:rPr>
              <w:t>全部质量符合国家有关规定，得5分，有一件不合格的扣1分，扣完为止</w:t>
            </w:r>
            <w:r>
              <w:rPr>
                <w:rFonts w:hint="eastAsia" w:ascii="宋体" w:hAnsi="宋体" w:eastAsia="宋体" w:cs="宋体"/>
                <w:spacing w:val="0"/>
                <w:sz w:val="21"/>
                <w:szCs w:val="21"/>
              </w:rPr>
              <w:t>。</w:t>
            </w:r>
          </w:p>
        </w:tc>
        <w:tc>
          <w:tcPr>
            <w:tcW w:w="281" w:type="pct"/>
            <w:tcBorders>
              <w:top w:val="single" w:color="000000" w:sz="6" w:space="0"/>
              <w:bottom w:val="single" w:color="000000" w:sz="6" w:space="0"/>
            </w:tcBorders>
            <w:noWrap w:val="0"/>
            <w:vAlign w:val="center"/>
          </w:tcPr>
          <w:p>
            <w:pPr>
              <w:pStyle w:val="11"/>
              <w:spacing w:before="266" w:line="189" w:lineRule="auto"/>
              <w:jc w:val="center"/>
              <w:rPr>
                <w:rFonts w:hint="default"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5</w:t>
            </w:r>
          </w:p>
        </w:tc>
        <w:tc>
          <w:tcPr>
            <w:tcW w:w="255" w:type="pct"/>
            <w:tcBorders>
              <w:top w:val="single" w:color="000000" w:sz="6" w:space="0"/>
              <w:bottom w:val="single" w:color="000000" w:sz="6" w:space="0"/>
            </w:tcBorders>
            <w:noWrap w:val="0"/>
            <w:vAlign w:val="center"/>
          </w:tcPr>
          <w:p>
            <w:pPr>
              <w:pStyle w:val="11"/>
              <w:spacing w:before="266" w:line="189" w:lineRule="auto"/>
              <w:jc w:val="center"/>
              <w:rPr>
                <w:rFonts w:hint="default"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5</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
              </w:rPr>
              <w:t>组织验收</w:t>
            </w:r>
          </w:p>
        </w:tc>
        <w:tc>
          <w:tcPr>
            <w:tcW w:w="880"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
              </w:rPr>
              <w:t>设备验收情况</w:t>
            </w:r>
          </w:p>
        </w:tc>
        <w:tc>
          <w:tcPr>
            <w:tcW w:w="2022" w:type="pct"/>
            <w:tcBorders>
              <w:top w:val="single" w:color="000000" w:sz="6" w:space="0"/>
              <w:bottom w:val="single" w:color="000000" w:sz="6" w:space="0"/>
            </w:tcBorders>
            <w:noWrap w:val="0"/>
            <w:vAlign w:val="center"/>
          </w:tcPr>
          <w:p>
            <w:pPr>
              <w:keepNext w:val="0"/>
              <w:keepLines w:val="0"/>
              <w:widowControl/>
              <w:suppressLineNumbers w:val="0"/>
              <w:jc w:val="both"/>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
              </w:rPr>
              <w:t>按规定程序进行验收，得8分，每缺一项扣4分，扣完为止。</w:t>
            </w:r>
          </w:p>
        </w:tc>
        <w:tc>
          <w:tcPr>
            <w:tcW w:w="281" w:type="pct"/>
            <w:tcBorders>
              <w:top w:val="single" w:color="000000" w:sz="6" w:space="0"/>
              <w:bottom w:val="single" w:color="000000" w:sz="6" w:space="0"/>
            </w:tcBorders>
            <w:noWrap w:val="0"/>
            <w:vAlign w:val="center"/>
          </w:tcPr>
          <w:p>
            <w:pPr>
              <w:pStyle w:val="11"/>
              <w:spacing w:before="299" w:line="188" w:lineRule="auto"/>
              <w:jc w:val="center"/>
              <w:rPr>
                <w:rFonts w:hint="eastAsia"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8</w:t>
            </w:r>
          </w:p>
        </w:tc>
        <w:tc>
          <w:tcPr>
            <w:tcW w:w="255" w:type="pct"/>
            <w:tcBorders>
              <w:top w:val="single" w:color="000000" w:sz="6" w:space="0"/>
              <w:bottom w:val="single" w:color="000000" w:sz="6" w:space="0"/>
            </w:tcBorders>
            <w:noWrap w:val="0"/>
            <w:vAlign w:val="center"/>
          </w:tcPr>
          <w:p>
            <w:pPr>
              <w:pStyle w:val="11"/>
              <w:spacing w:before="299" w:line="188" w:lineRule="auto"/>
              <w:jc w:val="center"/>
              <w:rPr>
                <w:rFonts w:hint="eastAsia"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4</w:t>
            </w:r>
          </w:p>
        </w:tc>
        <w:tc>
          <w:tcPr>
            <w:tcW w:w="370" w:type="pct"/>
            <w:tcBorders>
              <w:top w:val="single" w:color="000000" w:sz="6" w:space="0"/>
              <w:bottom w:val="single" w:color="000000" w:sz="6" w:space="0"/>
            </w:tcBorders>
            <w:noWrap w:val="0"/>
            <w:vAlign w:val="center"/>
          </w:tcPr>
          <w:p>
            <w:pPr>
              <w:jc w:val="center"/>
              <w:rPr>
                <w:rFonts w:hint="eastAsia" w:ascii="宋体" w:hAnsi="宋体" w:eastAsia="宋体" w:cs="宋体"/>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21"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309" w:type="pct"/>
            <w:vMerge w:val="continue"/>
            <w:tcBorders>
              <w:top w:val="single" w:color="000000" w:sz="6" w:space="0"/>
              <w:bottom w:val="single" w:color="000000" w:sz="6" w:space="0"/>
            </w:tcBorders>
            <w:noWrap w:val="0"/>
            <w:vAlign w:val="center"/>
          </w:tcPr>
          <w:p>
            <w:pPr>
              <w:jc w:val="center"/>
              <w:rPr>
                <w:rFonts w:hint="eastAsia" w:ascii="宋体" w:hAnsi="宋体" w:eastAsia="宋体" w:cs="宋体"/>
                <w:spacing w:val="0"/>
                <w:sz w:val="21"/>
                <w:szCs w:val="21"/>
              </w:rPr>
            </w:pPr>
          </w:p>
        </w:tc>
        <w:tc>
          <w:tcPr>
            <w:tcW w:w="558" w:type="pct"/>
            <w:tcBorders>
              <w:top w:val="single" w:color="000000" w:sz="6" w:space="0"/>
              <w:bottom w:val="single" w:color="000000" w:sz="6" w:space="0"/>
            </w:tcBorders>
            <w:noWrap w:val="0"/>
            <w:vAlign w:val="center"/>
          </w:tcPr>
          <w:p>
            <w:pPr>
              <w:pStyle w:val="11"/>
              <w:spacing w:before="54" w:line="221" w:lineRule="auto"/>
              <w:ind w:right="89" w:rightChars="0"/>
              <w:jc w:val="center"/>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pacing w:val="0"/>
                <w:sz w:val="21"/>
                <w:szCs w:val="21"/>
                <w:lang w:val="en-US" w:eastAsia="zh-CN"/>
              </w:rPr>
              <w:t>设备利用率</w:t>
            </w:r>
          </w:p>
        </w:tc>
        <w:tc>
          <w:tcPr>
            <w:tcW w:w="880" w:type="pct"/>
            <w:tcBorders>
              <w:top w:val="single" w:color="000000" w:sz="6" w:space="0"/>
              <w:bottom w:val="single" w:color="000000" w:sz="6" w:space="0"/>
            </w:tcBorders>
            <w:noWrap w:val="0"/>
            <w:vAlign w:val="center"/>
          </w:tcPr>
          <w:p>
            <w:pPr>
              <w:keepNext w:val="0"/>
              <w:keepLines w:val="0"/>
              <w:widowControl/>
              <w:suppressLineNumbers w:val="0"/>
              <w:jc w:val="center"/>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
              </w:rPr>
              <w:t>购置的设备使用情况</w:t>
            </w:r>
          </w:p>
        </w:tc>
        <w:tc>
          <w:tcPr>
            <w:tcW w:w="2022" w:type="pct"/>
            <w:tcBorders>
              <w:top w:val="single" w:color="000000" w:sz="6" w:space="0"/>
              <w:bottom w:val="single" w:color="000000" w:sz="6" w:space="0"/>
            </w:tcBorders>
            <w:noWrap w:val="0"/>
            <w:vAlign w:val="center"/>
          </w:tcPr>
          <w:p>
            <w:pPr>
              <w:keepNext w:val="0"/>
              <w:keepLines w:val="0"/>
              <w:widowControl/>
              <w:suppressLineNumbers w:val="0"/>
              <w:jc w:val="both"/>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zh-CN" w:bidi="ar"/>
              </w:rPr>
              <w:t>设备全部在用，得10分，有一件备用的扣1分，扣完为止。</w:t>
            </w:r>
          </w:p>
        </w:tc>
        <w:tc>
          <w:tcPr>
            <w:tcW w:w="281" w:type="pct"/>
            <w:tcBorders>
              <w:top w:val="single" w:color="000000" w:sz="6" w:space="0"/>
              <w:bottom w:val="single" w:color="000000" w:sz="6" w:space="0"/>
            </w:tcBorders>
            <w:noWrap w:val="0"/>
            <w:vAlign w:val="center"/>
          </w:tcPr>
          <w:p>
            <w:pPr>
              <w:pStyle w:val="11"/>
              <w:spacing w:before="207" w:line="189" w:lineRule="auto"/>
              <w:jc w:val="center"/>
              <w:rPr>
                <w:rFonts w:hint="default"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10</w:t>
            </w:r>
          </w:p>
        </w:tc>
        <w:tc>
          <w:tcPr>
            <w:tcW w:w="255" w:type="pct"/>
            <w:tcBorders>
              <w:top w:val="single" w:color="000000" w:sz="6" w:space="0"/>
              <w:bottom w:val="single" w:color="000000" w:sz="6" w:space="0"/>
            </w:tcBorders>
            <w:noWrap w:val="0"/>
            <w:vAlign w:val="center"/>
          </w:tcPr>
          <w:p>
            <w:pPr>
              <w:pStyle w:val="11"/>
              <w:spacing w:before="207" w:line="189" w:lineRule="auto"/>
              <w:ind w:left="268" w:leftChars="0"/>
              <w:jc w:val="both"/>
              <w:rPr>
                <w:rFonts w:hint="default" w:ascii="宋体" w:hAnsi="宋体" w:eastAsia="宋体" w:cs="宋体"/>
                <w:snapToGrid w:val="0"/>
                <w:color w:val="000000"/>
                <w:spacing w:val="0"/>
                <w:kern w:val="0"/>
                <w:sz w:val="21"/>
                <w:szCs w:val="21"/>
                <w:lang w:val="en-US" w:eastAsia="zh-CN" w:bidi="ar-SA"/>
              </w:rPr>
            </w:pPr>
            <w:r>
              <w:rPr>
                <w:rFonts w:hint="eastAsia" w:cs="宋体"/>
                <w:snapToGrid w:val="0"/>
                <w:color w:val="000000"/>
                <w:spacing w:val="0"/>
                <w:kern w:val="0"/>
                <w:sz w:val="21"/>
                <w:szCs w:val="21"/>
                <w:lang w:val="en-US" w:eastAsia="zh-CN" w:bidi="ar-SA"/>
              </w:rPr>
              <w:t>10</w:t>
            </w:r>
          </w:p>
        </w:tc>
        <w:tc>
          <w:tcPr>
            <w:tcW w:w="370" w:type="pct"/>
            <w:tcBorders>
              <w:top w:val="single" w:color="000000" w:sz="6" w:space="0"/>
              <w:bottom w:val="single" w:color="000000" w:sz="6" w:space="0"/>
            </w:tcBorders>
            <w:noWrap w:val="0"/>
            <w:vAlign w:val="center"/>
          </w:tcPr>
          <w:p>
            <w:pPr>
              <w:jc w:val="center"/>
              <w:rPr>
                <w:rFonts w:hint="default" w:ascii="宋体" w:hAnsi="宋体" w:eastAsia="宋体" w:cs="宋体"/>
                <w:snapToGrid w:val="0"/>
                <w:color w:val="000000"/>
                <w:spacing w:val="0"/>
                <w:kern w:val="0"/>
                <w:sz w:val="21"/>
                <w:szCs w:val="21"/>
                <w:lang w:eastAsia="zh-CN" w:bidi="ar-SA"/>
              </w:rPr>
            </w:pPr>
          </w:p>
        </w:tc>
      </w:tr>
    </w:tbl>
    <w:p>
      <w:pPr>
        <w:rPr>
          <w:rFonts w:ascii="Arial" w:hAnsi="Arial" w:eastAsia="Arial" w:cs="Arial"/>
          <w:sz w:val="21"/>
          <w:szCs w:val="21"/>
        </w:rPr>
        <w:sectPr>
          <w:footerReference r:id="rId9" w:type="default"/>
          <w:pgSz w:w="16837" w:h="11905"/>
          <w:pgMar w:top="956" w:right="1146" w:bottom="676" w:left="1129" w:header="0" w:footer="518" w:gutter="0"/>
          <w:pgBorders>
            <w:top w:val="none" w:sz="0" w:space="0"/>
            <w:left w:val="none" w:sz="0" w:space="0"/>
            <w:bottom w:val="none" w:sz="0" w:space="0"/>
            <w:right w:val="none" w:sz="0" w:space="0"/>
          </w:pgBorders>
          <w:pgNumType w:fmt="decimal"/>
          <w:cols w:space="720" w:num="1"/>
        </w:sectPr>
      </w:pPr>
    </w:p>
    <w:p>
      <w:pPr>
        <w:rPr>
          <w:rFonts w:ascii="Arial" w:hAnsi="Arial" w:eastAsia="Arial" w:cs="Arial"/>
          <w:sz w:val="21"/>
          <w:szCs w:val="21"/>
        </w:rPr>
      </w:pPr>
    </w:p>
    <w:p>
      <w:pPr>
        <w:pStyle w:val="2"/>
        <w:keepNext w:val="0"/>
        <w:keepLines w:val="0"/>
        <w:pageBreakBefore w:val="0"/>
        <w:widowControl w:val="0"/>
        <w:kinsoku/>
        <w:wordWrap/>
        <w:overflowPunct/>
        <w:topLinePunct w:val="0"/>
        <w:autoSpaceDE/>
        <w:autoSpaceDN/>
        <w:bidi w:val="0"/>
        <w:adjustRightInd/>
        <w:snapToGrid/>
        <w:spacing w:before="72" w:line="224" w:lineRule="auto"/>
        <w:ind w:firstLine="736" w:firstLineChars="200"/>
        <w:jc w:val="center"/>
        <w:textAlignment w:val="auto"/>
        <w:outlineLvl w:val="0"/>
        <w:rPr>
          <w:rFonts w:hint="eastAsia" w:eastAsia="宋体"/>
          <w:sz w:val="35"/>
          <w:szCs w:val="35"/>
          <w:lang w:eastAsia="zh-CN"/>
        </w:rPr>
      </w:pPr>
      <w:bookmarkStart w:id="89" w:name="_Toc11867"/>
      <w:r>
        <w:rPr>
          <w:rFonts w:hint="eastAsia"/>
          <w:spacing w:val="9"/>
          <w:sz w:val="35"/>
          <w:szCs w:val="35"/>
          <w:lang w:eastAsia="zh-CN"/>
        </w:rPr>
        <w:t>绥德县</w:t>
      </w:r>
      <w:r>
        <w:rPr>
          <w:rFonts w:hint="eastAsia"/>
          <w:spacing w:val="9"/>
          <w:sz w:val="35"/>
          <w:szCs w:val="35"/>
          <w:lang w:val="en-US" w:eastAsia="zh-CN"/>
        </w:rPr>
        <w:t>融媒体中心广播电视播出系统项目</w:t>
      </w:r>
      <w:r>
        <w:rPr>
          <w:spacing w:val="9"/>
          <w:sz w:val="35"/>
          <w:szCs w:val="35"/>
        </w:rPr>
        <w:t>绩效评价指标框架表</w:t>
      </w:r>
      <w:r>
        <w:rPr>
          <w:rFonts w:hint="eastAsia"/>
          <w:spacing w:val="9"/>
          <w:sz w:val="21"/>
          <w:szCs w:val="21"/>
          <w:lang w:eastAsia="zh-CN"/>
        </w:rPr>
        <w:t>（</w:t>
      </w:r>
      <w:r>
        <w:rPr>
          <w:rFonts w:hint="eastAsia"/>
          <w:spacing w:val="9"/>
          <w:sz w:val="21"/>
          <w:szCs w:val="21"/>
          <w:lang w:val="en-US" w:eastAsia="zh-CN"/>
        </w:rPr>
        <w:t>表2</w:t>
      </w:r>
      <w:r>
        <w:rPr>
          <w:rFonts w:hint="eastAsia"/>
          <w:spacing w:val="9"/>
          <w:sz w:val="21"/>
          <w:szCs w:val="21"/>
          <w:lang w:eastAsia="zh-CN"/>
        </w:rPr>
        <w:t>）</w:t>
      </w:r>
      <w:bookmarkEnd w:id="89"/>
    </w:p>
    <w:p>
      <w:pPr>
        <w:spacing w:line="64" w:lineRule="exact"/>
        <w:jc w:val="both"/>
      </w:pPr>
    </w:p>
    <w:tbl>
      <w:tblPr>
        <w:tblStyle w:val="12"/>
        <w:tblW w:w="501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80"/>
        <w:gridCol w:w="895"/>
        <w:gridCol w:w="1521"/>
        <w:gridCol w:w="2508"/>
        <w:gridCol w:w="5709"/>
        <w:gridCol w:w="811"/>
        <w:gridCol w:w="721"/>
        <w:gridCol w:w="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314" w:type="pct"/>
            <w:noWrap w:val="0"/>
            <w:vAlign w:val="center"/>
          </w:tcPr>
          <w:p>
            <w:pPr>
              <w:jc w:val="center"/>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一级指标</w:t>
            </w:r>
          </w:p>
        </w:tc>
        <w:tc>
          <w:tcPr>
            <w:tcW w:w="319"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二级指标</w:t>
            </w: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三级指标</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指标解释</w:t>
            </w:r>
          </w:p>
        </w:tc>
        <w:tc>
          <w:tcPr>
            <w:tcW w:w="203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评价标准</w:t>
            </w:r>
          </w:p>
        </w:tc>
        <w:tc>
          <w:tcPr>
            <w:tcW w:w="289"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分值</w:t>
            </w:r>
          </w:p>
        </w:tc>
        <w:tc>
          <w:tcPr>
            <w:tcW w:w="25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得分</w:t>
            </w:r>
          </w:p>
        </w:tc>
        <w:tc>
          <w:tcPr>
            <w:tcW w:w="349"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314" w:type="pct"/>
            <w:vMerge w:val="restart"/>
            <w:tcBorders>
              <w:bottom w:val="nil"/>
            </w:tcBorders>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资金管</w:t>
            </w:r>
          </w:p>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理（19分）</w:t>
            </w:r>
          </w:p>
        </w:tc>
        <w:tc>
          <w:tcPr>
            <w:tcW w:w="319" w:type="pct"/>
            <w:vMerge w:val="restart"/>
            <w:tcBorders>
              <w:bottom w:val="nil"/>
            </w:tcBorders>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资金使</w:t>
            </w:r>
          </w:p>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用（1</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分）</w:t>
            </w: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资金使用的合规性</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是否存在支出依据不合规、虚列项目支出的情况；是否存在截留、挤占、挪用项目资金情况；是否存在超标准开支情况。</w:t>
            </w:r>
          </w:p>
        </w:tc>
        <w:tc>
          <w:tcPr>
            <w:tcW w:w="2034" w:type="pct"/>
            <w:noWrap w:val="0"/>
            <w:vAlign w:val="center"/>
          </w:tcPr>
          <w:p>
            <w:pPr>
              <w:jc w:val="both"/>
              <w:rPr>
                <w:rFonts w:hint="eastAsia" w:ascii="宋体" w:hAnsi="宋体" w:eastAsia="宋体" w:cs="宋体"/>
                <w:spacing w:val="0"/>
                <w:sz w:val="21"/>
                <w:szCs w:val="21"/>
              </w:rPr>
            </w:pPr>
            <w:r>
              <w:rPr>
                <w:rFonts w:hint="eastAsia" w:ascii="宋体" w:hAnsi="宋体" w:eastAsia="宋体" w:cs="宋体"/>
                <w:spacing w:val="0"/>
                <w:sz w:val="21"/>
                <w:szCs w:val="21"/>
              </w:rPr>
              <w:t>虚列（套取）扣1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4分，支出依据不合规扣1分，截留、挤占、挪用扣2</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3分，超标准开支扣1</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3分，扣完为止。</w:t>
            </w:r>
          </w:p>
        </w:tc>
        <w:tc>
          <w:tcPr>
            <w:tcW w:w="289"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349" w:type="pct"/>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 w:hRule="atLeast"/>
        </w:trPr>
        <w:tc>
          <w:tcPr>
            <w:tcW w:w="314" w:type="pct"/>
            <w:vMerge w:val="continue"/>
            <w:tcBorders>
              <w:top w:val="nil"/>
              <w:bottom w:val="nil"/>
            </w:tcBorders>
            <w:noWrap w:val="0"/>
            <w:vAlign w:val="center"/>
          </w:tcPr>
          <w:p>
            <w:pPr>
              <w:jc w:val="center"/>
              <w:rPr>
                <w:rFonts w:hint="eastAsia" w:ascii="宋体" w:hAnsi="宋体" w:eastAsia="宋体" w:cs="宋体"/>
                <w:spacing w:val="0"/>
                <w:sz w:val="21"/>
                <w:szCs w:val="21"/>
              </w:rPr>
            </w:pPr>
          </w:p>
        </w:tc>
        <w:tc>
          <w:tcPr>
            <w:tcW w:w="319" w:type="pct"/>
            <w:vMerge w:val="continue"/>
            <w:tcBorders>
              <w:top w:val="nil"/>
              <w:bottom w:val="nil"/>
            </w:tcBorders>
            <w:noWrap w:val="0"/>
            <w:vAlign w:val="center"/>
          </w:tcPr>
          <w:p>
            <w:pPr>
              <w:jc w:val="center"/>
              <w:rPr>
                <w:rFonts w:hint="eastAsia" w:ascii="宋体" w:hAnsi="宋体" w:eastAsia="宋体" w:cs="宋体"/>
                <w:spacing w:val="0"/>
                <w:sz w:val="21"/>
                <w:szCs w:val="21"/>
              </w:rPr>
            </w:pP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资金使用的相符性</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项目的实际支出与预算、合同是否相符。</w:t>
            </w:r>
          </w:p>
        </w:tc>
        <w:tc>
          <w:tcPr>
            <w:tcW w:w="2034" w:type="pct"/>
            <w:noWrap w:val="0"/>
            <w:vAlign w:val="center"/>
          </w:tcPr>
          <w:p>
            <w:pPr>
              <w:jc w:val="both"/>
              <w:rPr>
                <w:rFonts w:hint="eastAsia" w:ascii="宋体" w:hAnsi="宋体" w:eastAsia="宋体" w:cs="宋体"/>
                <w:spacing w:val="0"/>
                <w:sz w:val="21"/>
                <w:szCs w:val="21"/>
              </w:rPr>
            </w:pPr>
            <w:r>
              <w:rPr>
                <w:rFonts w:hint="eastAsia" w:ascii="宋体" w:hAnsi="宋体" w:eastAsia="宋体" w:cs="宋体"/>
                <w:spacing w:val="0"/>
                <w:sz w:val="21"/>
                <w:szCs w:val="21"/>
              </w:rPr>
              <w:t>项目的实际支出与预算、合同相符</w:t>
            </w:r>
            <w:r>
              <w:rPr>
                <w:rFonts w:hint="eastAsia" w:ascii="宋体" w:hAnsi="宋体" w:eastAsia="宋体" w:cs="宋体"/>
                <w:spacing w:val="0"/>
                <w:sz w:val="21"/>
                <w:szCs w:val="21"/>
                <w:lang w:val="en-US" w:eastAsia="zh-CN"/>
              </w:rPr>
              <w:t>得6</w:t>
            </w:r>
            <w:r>
              <w:rPr>
                <w:rFonts w:hint="eastAsia" w:ascii="宋体" w:hAnsi="宋体" w:eastAsia="宋体" w:cs="宋体"/>
                <w:spacing w:val="0"/>
                <w:sz w:val="21"/>
                <w:szCs w:val="21"/>
              </w:rPr>
              <w:t>分，否则不得分。</w:t>
            </w:r>
          </w:p>
        </w:tc>
        <w:tc>
          <w:tcPr>
            <w:tcW w:w="289"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349" w:type="pct"/>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14" w:type="pct"/>
            <w:vMerge w:val="continue"/>
            <w:tcBorders>
              <w:top w:val="nil"/>
            </w:tcBorders>
            <w:noWrap w:val="0"/>
            <w:vAlign w:val="center"/>
          </w:tcPr>
          <w:p>
            <w:pPr>
              <w:jc w:val="center"/>
              <w:rPr>
                <w:rFonts w:hint="eastAsia" w:ascii="宋体" w:hAnsi="宋体" w:eastAsia="宋体" w:cs="宋体"/>
                <w:spacing w:val="0"/>
                <w:sz w:val="21"/>
                <w:szCs w:val="21"/>
              </w:rPr>
            </w:pPr>
          </w:p>
        </w:tc>
        <w:tc>
          <w:tcPr>
            <w:tcW w:w="319"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财务管</w:t>
            </w:r>
          </w:p>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理（</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分）</w:t>
            </w: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制度的健全性</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资金管理、费用支出等制度是否健全。</w:t>
            </w:r>
          </w:p>
        </w:tc>
        <w:tc>
          <w:tcPr>
            <w:tcW w:w="2034" w:type="pct"/>
            <w:noWrap w:val="0"/>
            <w:vAlign w:val="center"/>
          </w:tcPr>
          <w:p>
            <w:pPr>
              <w:jc w:val="both"/>
              <w:rPr>
                <w:rFonts w:hint="eastAsia" w:ascii="宋体" w:hAnsi="宋体" w:eastAsia="宋体" w:cs="宋体"/>
                <w:spacing w:val="0"/>
                <w:sz w:val="21"/>
                <w:szCs w:val="21"/>
              </w:rPr>
            </w:pPr>
            <w:r>
              <w:rPr>
                <w:rFonts w:hint="eastAsia" w:ascii="宋体" w:hAnsi="宋体" w:eastAsia="宋体" w:cs="宋体"/>
                <w:spacing w:val="0"/>
                <w:sz w:val="21"/>
                <w:szCs w:val="21"/>
              </w:rPr>
              <w:t>财务制度健全（</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分），严格执行制度、会计核算规范（</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分</w:t>
            </w:r>
            <w:r>
              <w:rPr>
                <w:rFonts w:hint="eastAsia" w:ascii="宋体" w:hAnsi="宋体" w:eastAsia="宋体" w:cs="宋体"/>
                <w:spacing w:val="0"/>
                <w:sz w:val="21"/>
                <w:szCs w:val="21"/>
                <w:lang w:eastAsia="zh-CN"/>
              </w:rPr>
              <w:t>）</w:t>
            </w:r>
          </w:p>
        </w:tc>
        <w:tc>
          <w:tcPr>
            <w:tcW w:w="289"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7</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7</w:t>
            </w:r>
          </w:p>
        </w:tc>
        <w:tc>
          <w:tcPr>
            <w:tcW w:w="349" w:type="pct"/>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314" w:type="pct"/>
            <w:vMerge w:val="restart"/>
            <w:tcBorders>
              <w:bottom w:val="nil"/>
            </w:tcBorders>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项目绩效</w:t>
            </w:r>
          </w:p>
          <w:p>
            <w:pPr>
              <w:jc w:val="center"/>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3</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分</w:t>
            </w:r>
            <w:r>
              <w:rPr>
                <w:rFonts w:hint="eastAsia" w:ascii="宋体" w:hAnsi="宋体" w:eastAsia="宋体" w:cs="宋体"/>
                <w:spacing w:val="0"/>
                <w:sz w:val="21"/>
                <w:szCs w:val="21"/>
                <w:lang w:eastAsia="zh-CN"/>
              </w:rPr>
              <w:t>）</w:t>
            </w:r>
          </w:p>
        </w:tc>
        <w:tc>
          <w:tcPr>
            <w:tcW w:w="319" w:type="pct"/>
            <w:vMerge w:val="restart"/>
            <w:tcBorders>
              <w:bottom w:val="nil"/>
            </w:tcBorders>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项目效果（3</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分</w:t>
            </w:r>
            <w:r>
              <w:rPr>
                <w:rFonts w:hint="eastAsia" w:ascii="宋体" w:hAnsi="宋体" w:eastAsia="宋体" w:cs="宋体"/>
                <w:spacing w:val="0"/>
                <w:sz w:val="21"/>
                <w:szCs w:val="21"/>
                <w:lang w:eastAsia="zh-CN"/>
              </w:rPr>
              <w:t>）</w:t>
            </w: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社会效益</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项目是否</w:t>
            </w:r>
            <w:r>
              <w:rPr>
                <w:rFonts w:hint="eastAsia" w:ascii="宋体" w:hAnsi="宋体" w:eastAsia="宋体" w:cs="宋体"/>
                <w:spacing w:val="0"/>
                <w:sz w:val="21"/>
                <w:szCs w:val="21"/>
                <w:lang w:val="en-US" w:eastAsia="zh-CN"/>
              </w:rPr>
              <w:t>带来实际效益</w:t>
            </w:r>
            <w:r>
              <w:rPr>
                <w:rFonts w:hint="eastAsia" w:ascii="宋体" w:hAnsi="宋体" w:eastAsia="宋体" w:cs="宋体"/>
                <w:spacing w:val="0"/>
                <w:sz w:val="21"/>
                <w:szCs w:val="21"/>
              </w:rPr>
              <w:t>。</w:t>
            </w:r>
          </w:p>
        </w:tc>
        <w:tc>
          <w:tcPr>
            <w:tcW w:w="2034" w:type="pct"/>
            <w:noWrap w:val="0"/>
            <w:vAlign w:val="center"/>
          </w:tcPr>
          <w:p>
            <w:pPr>
              <w:jc w:val="both"/>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效果显著得15分，有明显效果得10分，效果不明显得5分，无效果不得分。</w:t>
            </w:r>
          </w:p>
        </w:tc>
        <w:tc>
          <w:tcPr>
            <w:tcW w:w="289"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15</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15</w:t>
            </w:r>
          </w:p>
        </w:tc>
        <w:tc>
          <w:tcPr>
            <w:tcW w:w="349" w:type="pct"/>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314" w:type="pct"/>
            <w:vMerge w:val="continue"/>
            <w:tcBorders>
              <w:top w:val="nil"/>
            </w:tcBorders>
            <w:noWrap w:val="0"/>
            <w:vAlign w:val="center"/>
          </w:tcPr>
          <w:p>
            <w:pPr>
              <w:jc w:val="center"/>
              <w:rPr>
                <w:rFonts w:hint="eastAsia" w:ascii="宋体" w:hAnsi="宋体" w:eastAsia="宋体" w:cs="宋体"/>
                <w:spacing w:val="0"/>
                <w:sz w:val="21"/>
                <w:szCs w:val="21"/>
              </w:rPr>
            </w:pPr>
          </w:p>
        </w:tc>
        <w:tc>
          <w:tcPr>
            <w:tcW w:w="319" w:type="pct"/>
            <w:vMerge w:val="continue"/>
            <w:tcBorders>
              <w:top w:val="nil"/>
            </w:tcBorders>
            <w:noWrap w:val="0"/>
            <w:vAlign w:val="center"/>
          </w:tcPr>
          <w:p>
            <w:pPr>
              <w:jc w:val="center"/>
              <w:rPr>
                <w:rFonts w:hint="eastAsia" w:ascii="宋体" w:hAnsi="宋体" w:eastAsia="宋体" w:cs="宋体"/>
                <w:spacing w:val="0"/>
                <w:sz w:val="21"/>
                <w:szCs w:val="21"/>
              </w:rPr>
            </w:pPr>
          </w:p>
        </w:tc>
        <w:tc>
          <w:tcPr>
            <w:tcW w:w="542"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服务对象满意度</w:t>
            </w:r>
          </w:p>
        </w:tc>
        <w:tc>
          <w:tcPr>
            <w:tcW w:w="894" w:type="pct"/>
            <w:noWrap w:val="0"/>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项目满意度</w:t>
            </w:r>
          </w:p>
        </w:tc>
        <w:tc>
          <w:tcPr>
            <w:tcW w:w="2034" w:type="pct"/>
            <w:noWrap w:val="0"/>
            <w:vAlign w:val="center"/>
          </w:tcPr>
          <w:p>
            <w:pPr>
              <w:jc w:val="both"/>
              <w:rPr>
                <w:rFonts w:hint="eastAsia" w:ascii="宋体" w:hAnsi="宋体" w:eastAsia="宋体" w:cs="宋体"/>
                <w:spacing w:val="0"/>
                <w:sz w:val="21"/>
                <w:szCs w:val="21"/>
              </w:rPr>
            </w:pPr>
            <w:r>
              <w:rPr>
                <w:rFonts w:hint="eastAsia" w:ascii="宋体" w:hAnsi="宋体" w:eastAsia="宋体" w:cs="宋体"/>
                <w:spacing w:val="0"/>
                <w:sz w:val="21"/>
                <w:szCs w:val="21"/>
              </w:rPr>
              <w:t>根据问卷调查情况评价项目满意度，≥95%（</w:t>
            </w:r>
            <w:r>
              <w:rPr>
                <w:rFonts w:hint="eastAsia" w:ascii="宋体" w:hAnsi="宋体" w:eastAsia="宋体" w:cs="宋体"/>
                <w:spacing w:val="0"/>
                <w:sz w:val="21"/>
                <w:szCs w:val="21"/>
                <w:lang w:val="en-US" w:eastAsia="zh-CN"/>
              </w:rPr>
              <w:t>15</w:t>
            </w:r>
            <w:r>
              <w:rPr>
                <w:rFonts w:hint="eastAsia" w:ascii="宋体" w:hAnsi="宋体" w:eastAsia="宋体" w:cs="宋体"/>
                <w:spacing w:val="0"/>
                <w:sz w:val="21"/>
                <w:szCs w:val="21"/>
              </w:rPr>
              <w:t>分），每低一个百分点扣1分，扣完为止。</w:t>
            </w:r>
          </w:p>
        </w:tc>
        <w:tc>
          <w:tcPr>
            <w:tcW w:w="289"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15</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15</w:t>
            </w:r>
          </w:p>
        </w:tc>
        <w:tc>
          <w:tcPr>
            <w:tcW w:w="349" w:type="pct"/>
            <w:noWrap w:val="0"/>
            <w:vAlign w:val="center"/>
          </w:tcPr>
          <w:p>
            <w:pPr>
              <w:jc w:val="center"/>
              <w:rPr>
                <w:rFonts w:hint="eastAsia" w:ascii="宋体" w:hAnsi="宋体" w:eastAsia="宋体" w:cs="宋体"/>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4104" w:type="pct"/>
            <w:gridSpan w:val="5"/>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rPr>
              <w:t>总分</w:t>
            </w:r>
            <w:r>
              <w:rPr>
                <w:rFonts w:hint="eastAsia" w:ascii="宋体" w:hAnsi="宋体" w:eastAsia="宋体" w:cs="宋体"/>
                <w:spacing w:val="0"/>
                <w:sz w:val="21"/>
                <w:szCs w:val="21"/>
                <w:lang w:val="en-US" w:eastAsia="zh-CN"/>
              </w:rPr>
              <w:t>（100分）</w:t>
            </w:r>
          </w:p>
        </w:tc>
        <w:tc>
          <w:tcPr>
            <w:tcW w:w="289"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100</w:t>
            </w:r>
          </w:p>
        </w:tc>
        <w:tc>
          <w:tcPr>
            <w:tcW w:w="25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75</w:t>
            </w:r>
          </w:p>
        </w:tc>
        <w:tc>
          <w:tcPr>
            <w:tcW w:w="349" w:type="pct"/>
            <w:noWrap w:val="0"/>
            <w:vAlign w:val="center"/>
          </w:tcPr>
          <w:p>
            <w:pPr>
              <w:jc w:val="center"/>
              <w:rPr>
                <w:rFonts w:hint="eastAsia" w:ascii="宋体" w:hAnsi="宋体" w:eastAsia="宋体" w:cs="宋体"/>
                <w:spacing w:val="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Arial" w:hAnsi="Arial" w:eastAsia="Arial" w:cs="Arial"/>
          <w:sz w:val="21"/>
          <w:szCs w:val="21"/>
        </w:rPr>
      </w:pPr>
    </w:p>
    <w:p>
      <w:pPr>
        <w:tabs>
          <w:tab w:val="left" w:pos="805"/>
        </w:tabs>
        <w:bidi w:val="0"/>
        <w:jc w:val="left"/>
        <w:rPr>
          <w:lang w:val="en-US" w:eastAsia="zh-CN"/>
        </w:rPr>
      </w:pPr>
    </w:p>
    <w:p>
      <w:pPr>
        <w:bidi w:val="0"/>
        <w:rPr>
          <w:rFonts w:asciiTheme="minorHAnsi" w:hAnsiTheme="minorHAnsi" w:eastAsiaTheme="minorEastAsia" w:cstheme="minorBidi"/>
          <w:kern w:val="2"/>
          <w:sz w:val="21"/>
          <w:szCs w:val="24"/>
          <w:lang w:val="en-US" w:eastAsia="zh-CN" w:bidi="ar-SA"/>
        </w:rPr>
      </w:pPr>
    </w:p>
    <w:p>
      <w:pPr>
        <w:tabs>
          <w:tab w:val="left" w:pos="1391"/>
        </w:tabs>
        <w:bidi w:val="0"/>
        <w:jc w:val="left"/>
        <w:rPr>
          <w:rFonts w:hint="default"/>
          <w:lang w:val="en-US" w:eastAsia="zh-CN"/>
        </w:rPr>
      </w:pPr>
      <w:r>
        <w:rPr>
          <w:rFonts w:hint="eastAsia"/>
          <w:lang w:val="en-US" w:eastAsia="zh-CN"/>
        </w:rPr>
        <w:tab/>
      </w:r>
    </w:p>
    <w:sectPr>
      <w:footerReference r:id="rId10"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281"/>
        <w:tab w:val="clear" w:pos="4153"/>
        <w:tab w:val="clear" w:pos="8306"/>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7178"/>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AC50E"/>
    <w:multiLevelType w:val="singleLevel"/>
    <w:tmpl w:val="95AAC50E"/>
    <w:lvl w:ilvl="0" w:tentative="0">
      <w:start w:val="1"/>
      <w:numFmt w:val="decimal"/>
      <w:suff w:val="nothing"/>
      <w:lvlText w:val="%1．"/>
      <w:lvlJc w:val="left"/>
      <w:pPr>
        <w:ind w:left="0" w:firstLine="400"/>
      </w:pPr>
      <w:rPr>
        <w:rFonts w:hint="default"/>
      </w:rPr>
    </w:lvl>
  </w:abstractNum>
  <w:abstractNum w:abstractNumId="1">
    <w:nsid w:val="A899896F"/>
    <w:multiLevelType w:val="singleLevel"/>
    <w:tmpl w:val="A899896F"/>
    <w:lvl w:ilvl="0" w:tentative="0">
      <w:start w:val="1"/>
      <w:numFmt w:val="decimal"/>
      <w:suff w:val="nothing"/>
      <w:lvlText w:val="%1．"/>
      <w:lvlJc w:val="left"/>
      <w:pPr>
        <w:ind w:left="0" w:firstLine="400"/>
      </w:pPr>
      <w:rPr>
        <w:rFonts w:hint="default"/>
      </w:rPr>
    </w:lvl>
  </w:abstractNum>
  <w:abstractNum w:abstractNumId="2">
    <w:nsid w:val="B16BB114"/>
    <w:multiLevelType w:val="singleLevel"/>
    <w:tmpl w:val="B16BB114"/>
    <w:lvl w:ilvl="0" w:tentative="0">
      <w:start w:val="1"/>
      <w:numFmt w:val="chineseCounting"/>
      <w:suff w:val="nothing"/>
      <w:lvlText w:val="（%1）"/>
      <w:lvlJc w:val="left"/>
      <w:pPr>
        <w:ind w:left="630"/>
      </w:pPr>
      <w:rPr>
        <w:rFonts w:hint="eastAsia"/>
      </w:rPr>
    </w:lvl>
  </w:abstractNum>
  <w:abstractNum w:abstractNumId="3">
    <w:nsid w:val="C3DDD12A"/>
    <w:multiLevelType w:val="singleLevel"/>
    <w:tmpl w:val="C3DDD12A"/>
    <w:lvl w:ilvl="0" w:tentative="0">
      <w:start w:val="1"/>
      <w:numFmt w:val="chineseCounting"/>
      <w:suff w:val="nothing"/>
      <w:lvlText w:val="%1、"/>
      <w:lvlJc w:val="left"/>
      <w:pPr>
        <w:ind w:left="-13"/>
      </w:pPr>
      <w:rPr>
        <w:rFonts w:hint="eastAsia"/>
      </w:rPr>
    </w:lvl>
  </w:abstractNum>
  <w:abstractNum w:abstractNumId="4">
    <w:nsid w:val="C6F26D18"/>
    <w:multiLevelType w:val="singleLevel"/>
    <w:tmpl w:val="C6F26D18"/>
    <w:lvl w:ilvl="0" w:tentative="0">
      <w:start w:val="1"/>
      <w:numFmt w:val="decimal"/>
      <w:suff w:val="nothing"/>
      <w:lvlText w:val="%1．"/>
      <w:lvlJc w:val="left"/>
      <w:pPr>
        <w:ind w:left="0" w:firstLine="400"/>
      </w:pPr>
      <w:rPr>
        <w:rFonts w:hint="default"/>
      </w:rPr>
    </w:lvl>
  </w:abstractNum>
  <w:abstractNum w:abstractNumId="5">
    <w:nsid w:val="D2885038"/>
    <w:multiLevelType w:val="singleLevel"/>
    <w:tmpl w:val="D2885038"/>
    <w:lvl w:ilvl="0" w:tentative="0">
      <w:start w:val="1"/>
      <w:numFmt w:val="decimal"/>
      <w:suff w:val="nothing"/>
      <w:lvlText w:val="%1．"/>
      <w:lvlJc w:val="left"/>
      <w:pPr>
        <w:ind w:left="0" w:firstLine="400"/>
      </w:pPr>
      <w:rPr>
        <w:rFonts w:hint="default"/>
      </w:rPr>
    </w:lvl>
  </w:abstractNum>
  <w:abstractNum w:abstractNumId="6">
    <w:nsid w:val="F8984A7E"/>
    <w:multiLevelType w:val="singleLevel"/>
    <w:tmpl w:val="F8984A7E"/>
    <w:lvl w:ilvl="0" w:tentative="0">
      <w:start w:val="1"/>
      <w:numFmt w:val="decimal"/>
      <w:suff w:val="nothing"/>
      <w:lvlText w:val="%1．"/>
      <w:lvlJc w:val="left"/>
      <w:pPr>
        <w:ind w:left="0" w:firstLine="400"/>
      </w:pPr>
      <w:rPr>
        <w:rFonts w:hint="default"/>
      </w:rPr>
    </w:lvl>
  </w:abstractNum>
  <w:abstractNum w:abstractNumId="7">
    <w:nsid w:val="FA630C65"/>
    <w:multiLevelType w:val="singleLevel"/>
    <w:tmpl w:val="FA630C65"/>
    <w:lvl w:ilvl="0" w:tentative="0">
      <w:start w:val="1"/>
      <w:numFmt w:val="decimal"/>
      <w:suff w:val="nothing"/>
      <w:lvlText w:val="%1．"/>
      <w:lvlJc w:val="left"/>
      <w:pPr>
        <w:ind w:left="-8" w:firstLine="400"/>
      </w:pPr>
      <w:rPr>
        <w:rFonts w:hint="default" w:ascii="仿宋" w:hAnsi="仿宋" w:eastAsia="仿宋" w:cs="仿宋"/>
        <w:b w:val="0"/>
        <w:bCs w:val="0"/>
        <w:sz w:val="32"/>
        <w:szCs w:val="32"/>
      </w:rPr>
    </w:lvl>
  </w:abstractNum>
  <w:abstractNum w:abstractNumId="8">
    <w:nsid w:val="04BE9478"/>
    <w:multiLevelType w:val="singleLevel"/>
    <w:tmpl w:val="04BE9478"/>
    <w:lvl w:ilvl="0" w:tentative="0">
      <w:start w:val="1"/>
      <w:numFmt w:val="chineseCounting"/>
      <w:suff w:val="nothing"/>
      <w:lvlText w:val="（%1）"/>
      <w:lvlJc w:val="left"/>
      <w:pPr>
        <w:ind w:left="0" w:firstLine="420"/>
      </w:pPr>
      <w:rPr>
        <w:rFonts w:hint="eastAsia"/>
      </w:rPr>
    </w:lvl>
  </w:abstractNum>
  <w:abstractNum w:abstractNumId="9">
    <w:nsid w:val="275687D0"/>
    <w:multiLevelType w:val="singleLevel"/>
    <w:tmpl w:val="275687D0"/>
    <w:lvl w:ilvl="0" w:tentative="0">
      <w:start w:val="1"/>
      <w:numFmt w:val="decimal"/>
      <w:suff w:val="nothing"/>
      <w:lvlText w:val="%1．"/>
      <w:lvlJc w:val="left"/>
      <w:pPr>
        <w:ind w:left="0" w:firstLine="400"/>
      </w:pPr>
      <w:rPr>
        <w:rFonts w:hint="default"/>
      </w:rPr>
    </w:lvl>
  </w:abstractNum>
  <w:abstractNum w:abstractNumId="10">
    <w:nsid w:val="5A2F9E6D"/>
    <w:multiLevelType w:val="singleLevel"/>
    <w:tmpl w:val="5A2F9E6D"/>
    <w:lvl w:ilvl="0" w:tentative="0">
      <w:start w:val="1"/>
      <w:numFmt w:val="decimal"/>
      <w:suff w:val="nothing"/>
      <w:lvlText w:val="%1．"/>
      <w:lvlJc w:val="left"/>
      <w:pPr>
        <w:ind w:left="0" w:firstLine="400"/>
      </w:pPr>
      <w:rPr>
        <w:rFonts w:hint="default"/>
      </w:rPr>
    </w:lvl>
  </w:abstractNum>
  <w:abstractNum w:abstractNumId="11">
    <w:nsid w:val="6C1D1070"/>
    <w:multiLevelType w:val="singleLevel"/>
    <w:tmpl w:val="6C1D1070"/>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
  </w:num>
  <w:num w:numId="4">
    <w:abstractNumId w:val="5"/>
  </w:num>
  <w:num w:numId="5">
    <w:abstractNumId w:val="9"/>
  </w:num>
  <w:num w:numId="6">
    <w:abstractNumId w:val="8"/>
  </w:num>
  <w:num w:numId="7">
    <w:abstractNumId w:val="0"/>
  </w:num>
  <w:num w:numId="8">
    <w:abstractNumId w:val="6"/>
  </w:num>
  <w:num w:numId="9">
    <w:abstractNumId w:val="11"/>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TVkNDJiZTM0MDdjNDgyMThiMDI0MzI3NTljMmIifQ=="/>
  </w:docVars>
  <w:rsids>
    <w:rsidRoot w:val="00000000"/>
    <w:rsid w:val="01EE357C"/>
    <w:rsid w:val="0213766F"/>
    <w:rsid w:val="057B7517"/>
    <w:rsid w:val="06343378"/>
    <w:rsid w:val="06FF01C2"/>
    <w:rsid w:val="09921269"/>
    <w:rsid w:val="0BCE7AED"/>
    <w:rsid w:val="0DE37230"/>
    <w:rsid w:val="0E32233D"/>
    <w:rsid w:val="1B0B13D3"/>
    <w:rsid w:val="1F310644"/>
    <w:rsid w:val="21BA76AF"/>
    <w:rsid w:val="22555005"/>
    <w:rsid w:val="2504136D"/>
    <w:rsid w:val="256E2C8A"/>
    <w:rsid w:val="25943A14"/>
    <w:rsid w:val="259A0A7C"/>
    <w:rsid w:val="25EA2427"/>
    <w:rsid w:val="2D1C4591"/>
    <w:rsid w:val="2EC35DF5"/>
    <w:rsid w:val="323A6E2B"/>
    <w:rsid w:val="33DD71F6"/>
    <w:rsid w:val="36FB5D48"/>
    <w:rsid w:val="37886240"/>
    <w:rsid w:val="3C79123B"/>
    <w:rsid w:val="3F676736"/>
    <w:rsid w:val="422449A5"/>
    <w:rsid w:val="44466E54"/>
    <w:rsid w:val="452D1DC2"/>
    <w:rsid w:val="4AB87346"/>
    <w:rsid w:val="4B991F60"/>
    <w:rsid w:val="4C6C10CF"/>
    <w:rsid w:val="4C9A7AF1"/>
    <w:rsid w:val="4D7A36CB"/>
    <w:rsid w:val="527042F5"/>
    <w:rsid w:val="54442815"/>
    <w:rsid w:val="57F66044"/>
    <w:rsid w:val="588C0756"/>
    <w:rsid w:val="59B925A9"/>
    <w:rsid w:val="5C455A68"/>
    <w:rsid w:val="62A151E8"/>
    <w:rsid w:val="6408513D"/>
    <w:rsid w:val="66060EC6"/>
    <w:rsid w:val="661A3DCC"/>
    <w:rsid w:val="66CD7022"/>
    <w:rsid w:val="681F3173"/>
    <w:rsid w:val="704A5943"/>
    <w:rsid w:val="729B7ABC"/>
    <w:rsid w:val="73771E6F"/>
    <w:rsid w:val="77370C79"/>
    <w:rsid w:val="7E4A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2023-11-28T00:41:00Z</dcterms:created>
  <dc:creator>Administrator</dc:creator>
  <cp:lastModifiedBy>M</cp:lastModifiedBy>
  <dcterms:modified xsi:type="dcterms:W3CDTF">2023-12-11T00:59:48Z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17C24571EBE2462F9ABE8F929AF1D87A_12</vt:lpwstr>
  </property>
</Properties>
</file>