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7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附录</w:t>
      </w:r>
    </w:p>
    <w:p>
      <w:pPr>
        <w:spacing w:line="600" w:lineRule="atLeast"/>
        <w:ind w:left="105" w:leftChars="50" w:right="105" w:rightChars="50"/>
        <w:jc w:val="center"/>
        <w:rPr>
          <w:rFonts w:hint="eastAsia" w:ascii="黑体" w:eastAsia="黑体"/>
          <w:sz w:val="36"/>
          <w:szCs w:val="36"/>
        </w:rPr>
      </w:pPr>
    </w:p>
    <w:p>
      <w:pPr>
        <w:spacing w:line="600" w:lineRule="atLeast"/>
        <w:ind w:left="105" w:leftChars="50" w:right="105" w:rightChars="50"/>
        <w:jc w:val="center"/>
        <w:rPr>
          <w:rFonts w:hint="eastAsia" w:ascii="黑体" w:eastAsia="黑体"/>
          <w:sz w:val="36"/>
          <w:szCs w:val="36"/>
        </w:rPr>
      </w:pPr>
      <w:r>
        <w:rPr>
          <w:rFonts w:hint="eastAsia" w:ascii="黑体" w:eastAsia="黑体"/>
          <w:sz w:val="36"/>
          <w:szCs w:val="36"/>
        </w:rPr>
        <w:t>预算报告名词解释</w:t>
      </w:r>
    </w:p>
    <w:p>
      <w:pPr>
        <w:spacing w:line="600" w:lineRule="atLeast"/>
        <w:ind w:left="105" w:leftChars="50" w:right="105" w:rightChars="50"/>
        <w:jc w:val="center"/>
        <w:rPr>
          <w:rFonts w:hint="eastAsia" w:ascii="黑体" w:eastAsia="黑体"/>
          <w:sz w:val="36"/>
          <w:szCs w:val="36"/>
        </w:rPr>
      </w:pPr>
      <w:bookmarkStart w:id="0" w:name="_GoBack"/>
      <w:bookmarkEnd w:id="0"/>
    </w:p>
    <w:p>
      <w:pPr>
        <w:keepNext w:val="0"/>
        <w:keepLines w:val="0"/>
        <w:pageBreakBefore w:val="0"/>
        <w:numPr>
          <w:numId w:val="0"/>
        </w:numPr>
        <w:kinsoku/>
        <w:wordWrap/>
        <w:overflowPunct/>
        <w:topLinePunct w:val="0"/>
        <w:autoSpaceDE/>
        <w:autoSpaceDN/>
        <w:bidi w:val="0"/>
        <w:adjustRightInd/>
        <w:snapToGrid/>
        <w:spacing w:line="580" w:lineRule="exact"/>
        <w:textAlignment w:val="auto"/>
        <w:rPr>
          <w:rFonts w:hint="eastAsia" w:ascii="仿宋" w:hAnsi="仿宋" w:eastAsia="仿宋" w:cs="仿宋"/>
          <w:b w:val="0"/>
          <w:i w:val="0"/>
          <w:caps w:val="0"/>
          <w:color w:val="1A1A1A"/>
          <w:spacing w:val="0"/>
          <w:sz w:val="32"/>
          <w:szCs w:val="32"/>
          <w:shd w:val="clear" w:fill="FFFFFF"/>
          <w:lang w:val="en-US" w:eastAsia="zh-CN"/>
        </w:rPr>
      </w:pPr>
      <w:r>
        <w:rPr>
          <w:rFonts w:hint="eastAsia" w:ascii="仿宋" w:hAnsi="仿宋" w:eastAsia="仿宋" w:cs="仿宋"/>
          <w:b/>
          <w:bCs/>
          <w:i w:val="0"/>
          <w:caps w:val="0"/>
          <w:color w:val="1A1A1A"/>
          <w:spacing w:val="0"/>
          <w:sz w:val="32"/>
          <w:szCs w:val="32"/>
          <w:highlight w:val="none"/>
          <w:shd w:val="clear" w:fill="FFFFFF"/>
          <w:lang w:val="en-US" w:eastAsia="zh-CN"/>
        </w:rPr>
        <w:t>　　1、预算管理一体化</w:t>
      </w:r>
      <w:r>
        <w:rPr>
          <w:rFonts w:hint="eastAsia" w:ascii="仿宋" w:hAnsi="仿宋" w:eastAsia="仿宋" w:cs="仿宋"/>
          <w:b w:val="0"/>
          <w:i w:val="0"/>
          <w:caps w:val="0"/>
          <w:color w:val="1A1A1A"/>
          <w:spacing w:val="0"/>
          <w:sz w:val="32"/>
          <w:szCs w:val="32"/>
          <w:highlight w:val="none"/>
          <w:shd w:val="clear" w:fill="FFFFFF"/>
          <w:lang w:val="en-US" w:eastAsia="zh-CN"/>
        </w:rPr>
        <w:t>：</w:t>
      </w:r>
      <w:r>
        <w:rPr>
          <w:rFonts w:hint="eastAsia" w:ascii="仿宋" w:hAnsi="仿宋" w:eastAsia="仿宋" w:cs="仿宋"/>
          <w:b w:val="0"/>
          <w:i w:val="0"/>
          <w:caps w:val="0"/>
          <w:color w:val="1A1A1A"/>
          <w:spacing w:val="0"/>
          <w:sz w:val="32"/>
          <w:szCs w:val="32"/>
          <w:shd w:val="clear" w:fill="FFFFFF"/>
          <w:lang w:val="en-US" w:eastAsia="zh-CN"/>
        </w:rPr>
        <w:t>预算管理一体化是财政部党组按照习近平总书记指示精神和党的十九大部署要求，总结历次预算管理改革经验的基础上提出的。实施预算管理一体化，就是要以系统化思维整合预算管理全过程，建立各级财政统一的预算管理一体化规范，将管理规则嵌入信息系统，构建现代信息技术条件下“制度+技术”的管理机制，全面提高各级预算管理规范化、标准化和自动化水平。</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2、</w:t>
      </w:r>
      <w:r>
        <w:rPr>
          <w:rFonts w:hint="eastAsia" w:ascii="仿宋" w:hAnsi="仿宋" w:eastAsia="仿宋" w:cs="仿宋"/>
          <w:b/>
          <w:sz w:val="32"/>
          <w:szCs w:val="32"/>
        </w:rPr>
        <w:t>政府支出分类科目</w:t>
      </w:r>
      <w:r>
        <w:rPr>
          <w:rFonts w:hint="eastAsia" w:ascii="仿宋" w:hAnsi="仿宋" w:eastAsia="仿宋" w:cs="仿宋"/>
          <w:b/>
          <w:sz w:val="32"/>
          <w:szCs w:val="32"/>
          <w:lang w:eastAsia="zh-CN"/>
        </w:rPr>
        <w:t>：</w:t>
      </w:r>
      <w:r>
        <w:rPr>
          <w:rFonts w:hint="eastAsia" w:ascii="仿宋" w:hAnsi="仿宋" w:eastAsia="仿宋" w:cs="仿宋"/>
          <w:sz w:val="32"/>
          <w:szCs w:val="32"/>
        </w:rPr>
        <w:t>分为支出功能分类科目和支出经济分类科目两类。</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（1）支出功能分类科目。</w:t>
      </w:r>
      <w:r>
        <w:rPr>
          <w:rFonts w:hint="eastAsia" w:ascii="仿宋" w:hAnsi="仿宋" w:eastAsia="仿宋" w:cs="仿宋"/>
          <w:sz w:val="32"/>
          <w:szCs w:val="32"/>
        </w:rPr>
        <w:t>主要是根据政府职能进行分类，反映政府支出的内容和方向。简单地说，就是“钱用到哪里去了”。设置类、款、项三级。</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类级科目。包括一般公共服务支出，公共安全、教育、</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科学技术、文化体育与传媒支出、社会保障和就业、医疗卫</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生与计划生育、节能环保、农林水支出等26个大类。</w:t>
      </w:r>
    </w:p>
    <w:p>
      <w:pPr>
        <w:keepNext w:val="0"/>
        <w:keepLines w:val="0"/>
        <w:pageBreakBefore w:val="0"/>
        <w:kinsoku/>
        <w:wordWrap/>
        <w:overflowPunct/>
        <w:topLinePunct w:val="0"/>
        <w:autoSpaceDE/>
        <w:autoSpaceDN/>
        <w:bidi w:val="0"/>
        <w:adjustRightInd/>
        <w:snapToGrid/>
        <w:spacing w:line="58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 xml:space="preserve"> 款级科目。是在类级科目下，进一步明确资金的具体使</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用部门，如一般公共服务支出大类下，设置了人大事务、政</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协事务等款级科目。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项级科目。是在款级科目下，反映资金使用部门的具体投向。如人大事务款级科目下，又设置了行政运行、机关服务、人大会议、人大立法、人大监督等项级科目。</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（2）支出经济分类科目。</w:t>
      </w:r>
      <w:r>
        <w:rPr>
          <w:rFonts w:hint="eastAsia" w:ascii="仿宋" w:hAnsi="仿宋" w:eastAsia="仿宋" w:cs="仿宋"/>
          <w:sz w:val="32"/>
          <w:szCs w:val="32"/>
        </w:rPr>
        <w:t>主要反映政府各项支出的经济性质和具体用途，也就是“花的什么钱”支出经济分类科目设类、款两级科目。主要科目有：</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机关工资福利支出。反映机关开支的在职职工和编制外长期聘用人员的各类劳动报酬，以及为上述人员缴纳的各项社会保险费等。下设工资、津补贴及奖金、社会保障缴费等款级科目。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机关商品和服务支出，反映机关购买商品和服务的支出。下设日常公用经费、差旅费、因公出国（境）费、会议培训费、公务接待费、专用材料购置费、劳务费、公务用车运行维护费等款级科目。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对个人和家庭补助支出。反映政府用于个人和家庭等方面的补助支出。下设离退休费、社会福利、生产补贴（包括国家对农民发放的农机具购置补贴、良种补贴、粮食直补</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等）、住房补贴等款级科目。</w:t>
      </w:r>
    </w:p>
    <w:p>
      <w:pPr>
        <w:keepNext w:val="0"/>
        <w:keepLines w:val="0"/>
        <w:pageBreakBefore w:val="0"/>
        <w:kinsoku/>
        <w:wordWrap/>
        <w:overflowPunct/>
        <w:topLinePunct w:val="0"/>
        <w:autoSpaceDE/>
        <w:autoSpaceDN/>
        <w:bidi w:val="0"/>
        <w:adjustRightInd/>
        <w:snapToGrid/>
        <w:spacing w:line="58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 xml:space="preserve"> 事业单位的补助。反映政府对事业单位及民间非盈利组织的补助。</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对企业的补助。反映政府对企业及民间非盈利组织的补贴。</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债务利息支出，反映政府和单位的债务利息支出。</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债务还本支出。反映政府和单位的债务还本支出。</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基本建设支出。反映发改委集中安排的用于购置固定资产、购置基础设施、大型修缮所发生的支出。</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机关其他资本性支出。反映除发改委外的其他各部门用于购置固定资产、构建基础设施、大型修缮和财政支持企业更新改造所发生的支出。</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3</w:t>
      </w:r>
      <w:r>
        <w:rPr>
          <w:rFonts w:hint="eastAsia" w:ascii="仿宋" w:hAnsi="仿宋" w:eastAsia="仿宋" w:cs="仿宋"/>
          <w:b/>
          <w:sz w:val="32"/>
          <w:szCs w:val="32"/>
        </w:rPr>
        <w:t>、盘活财政存量资金</w:t>
      </w:r>
      <w:r>
        <w:rPr>
          <w:rFonts w:hint="eastAsia" w:ascii="仿宋" w:hAnsi="仿宋" w:eastAsia="仿宋" w:cs="仿宋"/>
          <w:b/>
          <w:sz w:val="32"/>
          <w:szCs w:val="32"/>
          <w:lang w:eastAsia="zh-CN"/>
        </w:rPr>
        <w:t>：</w:t>
      </w:r>
      <w:r>
        <w:rPr>
          <w:rFonts w:hint="eastAsia" w:ascii="仿宋" w:hAnsi="仿宋" w:eastAsia="仿宋" w:cs="仿宋"/>
          <w:sz w:val="32"/>
          <w:szCs w:val="32"/>
        </w:rPr>
        <w:t>盘活财政存量资金是为切实提高财政资金使用效率，支持稳增长、惠民生，应对财政收入增速放缓和弥补财政收支不平衡采取的有效措施，也是创新宏观调控的重要内容。盘活财政存量资金的主要措施有：</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（1）清理一般公共预算结转结余资金。各级财政结转两年以上的资金，作为结余资金管理，全部补充预算稳定调节基</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金。未满两年的结转资金，不需按原用途使用的，可统筹用</w:t>
      </w:r>
    </w:p>
    <w:p>
      <w:pPr>
        <w:keepNext w:val="0"/>
        <w:keepLines w:val="0"/>
        <w:pageBreakBefore w:val="0"/>
        <w:numPr>
          <w:ilvl w:val="0"/>
          <w:numId w:val="0"/>
        </w:numPr>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于经济社会发展亟需领域。（2）清理政府性基金预算结转资金。结转资金超过该项基金当年收入的30％部分，调入一般公共预算统筹使用。（3）加强转移支付结转结余资金管理。上级财政专项转移支付结转结余资金中，预算尚未分配到部门和下级政府并结转两年以上的资金，由本级财政交回上级财政统筹使用。预算已经分配到部门并结转两年以上的资金，由同级财政收回统筹使用。（4）加强部门预算结转结余资金管理。部门预算结余资金以及结转两年以上的资金，由同级财政收回统筹使用。</w:t>
      </w:r>
    </w:p>
    <w:p>
      <w:pPr>
        <w:keepNext w:val="0"/>
        <w:keepLines w:val="0"/>
        <w:pageBreakBefore w:val="0"/>
        <w:numPr>
          <w:ilvl w:val="0"/>
          <w:numId w:val="0"/>
        </w:numPr>
        <w:kinsoku/>
        <w:wordWrap/>
        <w:overflowPunct/>
        <w:topLinePunct w:val="0"/>
        <w:autoSpaceDE/>
        <w:autoSpaceDN/>
        <w:bidi w:val="0"/>
        <w:adjustRightInd/>
        <w:snapToGrid/>
        <w:spacing w:line="580" w:lineRule="exact"/>
        <w:textAlignment w:val="auto"/>
        <w:rPr>
          <w:rFonts w:hint="eastAsia" w:ascii="仿宋" w:hAnsi="仿宋" w:eastAsia="仿宋" w:cs="仿宋"/>
          <w:kern w:val="0"/>
          <w:sz w:val="32"/>
          <w:szCs w:val="32"/>
          <w:lang w:val="en-US" w:eastAsia="zh-CN" w:bidi="ar"/>
        </w:rPr>
      </w:pP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4、</w:t>
      </w:r>
      <w:r>
        <w:rPr>
          <w:rFonts w:hint="eastAsia" w:ascii="仿宋" w:hAnsi="仿宋" w:eastAsia="仿宋" w:cs="仿宋"/>
          <w:b/>
          <w:sz w:val="32"/>
          <w:szCs w:val="32"/>
        </w:rPr>
        <w:t>预算绩效管理</w:t>
      </w:r>
      <w:r>
        <w:rPr>
          <w:rFonts w:hint="eastAsia" w:ascii="仿宋" w:hAnsi="仿宋" w:eastAsia="仿宋" w:cs="仿宋"/>
          <w:sz w:val="32"/>
          <w:szCs w:val="32"/>
          <w:lang w:eastAsia="zh-CN"/>
        </w:rPr>
        <w:t>：</w:t>
      </w:r>
      <w:r>
        <w:rPr>
          <w:rFonts w:hint="eastAsia" w:ascii="仿宋" w:hAnsi="仿宋" w:eastAsia="仿宋" w:cs="仿宋"/>
          <w:sz w:val="32"/>
          <w:szCs w:val="32"/>
        </w:rPr>
        <w:t>是指在预算管理中融入绩效理念，将绩效目标设定、绩效跟踪、绩效评价及结果运用纳入预算编制、执行、监督全过程，以提高预算的经济效益、社会效益为目的的管理活动。党的十九大报告指出“建立全面规范透明、标准科学、约束有力的预算制度，全面实施预算绩效管理”。</w:t>
      </w:r>
      <w:r>
        <w:rPr>
          <w:rFonts w:hint="eastAsia" w:ascii="仿宋" w:hAnsi="仿宋" w:eastAsia="仿宋" w:cs="仿宋"/>
          <w:sz w:val="32"/>
          <w:szCs w:val="32"/>
          <w:lang w:eastAsia="zh-CN"/>
        </w:rPr>
        <w:t>2019</w:t>
      </w:r>
      <w:r>
        <w:rPr>
          <w:rFonts w:hint="eastAsia" w:ascii="仿宋" w:hAnsi="仿宋" w:eastAsia="仿宋" w:cs="仿宋"/>
          <w:sz w:val="32"/>
          <w:szCs w:val="32"/>
        </w:rPr>
        <w:t>年9月中共中央国务院《关于全面实施预算绩效管理的意见》指出：“</w:t>
      </w:r>
      <w:r>
        <w:rPr>
          <w:rFonts w:hint="eastAsia" w:ascii="仿宋" w:hAnsi="仿宋" w:eastAsia="仿宋" w:cs="仿宋"/>
          <w:spacing w:val="15"/>
          <w:kern w:val="0"/>
          <w:sz w:val="32"/>
          <w:szCs w:val="32"/>
        </w:rPr>
        <w:t>以习近平新时代中国特色社会主义思想为指导，全面贯彻党的十九大和十九届二中、三中全会精神，坚持和加强党的全面领导，坚持稳中求进工作总基调，坚持新发展理念，紧扣我国社会主要矛盾变化，按照高质量发展的要求，紧紧围绕统筹推进“五位一体”总体布局和协调推进“四个全面”战略布局，坚持以供给侧结构性改革为主线，创新预算管理方式，更加注重结果导向、强调成本效益、硬化责任约束，力争用3－5年时间基本建成全方位、全过程、全覆盖的预算绩效管理体系，实现预算和绩效管理一体化，着力提高财政资源配置效率和使用效益，改变预算资金分配的固化格局，提高预算管理水平和政策实施效果，为经济社会发展提供有力保障。”</w:t>
      </w:r>
      <w:r>
        <w:rPr>
          <w:rFonts w:hint="eastAsia" w:ascii="仿宋" w:hAnsi="仿宋" w:eastAsia="仿宋" w:cs="仿宋"/>
          <w:kern w:val="0"/>
          <w:sz w:val="32"/>
          <w:szCs w:val="32"/>
          <w:lang w:val="en-US" w:eastAsia="zh-CN" w:bidi="ar"/>
        </w:rPr>
        <w:t xml:space="preserve"> </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5、“三公”经费：</w:t>
      </w:r>
      <w:r>
        <w:rPr>
          <w:rFonts w:hint="eastAsia" w:ascii="仿宋" w:hAnsi="仿宋" w:eastAsia="仿宋" w:cs="仿宋"/>
          <w:sz w:val="32"/>
          <w:szCs w:val="32"/>
          <w:lang w:val="en-US" w:eastAsia="zh-CN"/>
        </w:rPr>
        <w:t>指的是政府部门人员因公出国（境）经费、公务车购置及运行费、公务接待费产生的消费。</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6、一般性转移支付：</w:t>
      </w:r>
      <w:r>
        <w:rPr>
          <w:rFonts w:hint="eastAsia" w:ascii="仿宋" w:hAnsi="仿宋" w:eastAsia="仿宋" w:cs="仿宋"/>
          <w:sz w:val="32"/>
          <w:szCs w:val="32"/>
          <w:lang w:val="en-US" w:eastAsia="zh-CN"/>
        </w:rPr>
        <w:t>一般性转移支付是地方政府可以按照相关规定统筹安排、使用的补助资金,主要包括:均衡性转移支付、县级基本财力保障机制奖补、重点生态功能区转移支付、资源枯竭型城市转移支付、革命老区转移支付、固定数额补助等。主要用于均衡地区间财力配置，保障地方政府日常运转和推动区域协调发展。</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7、一般债券：</w:t>
      </w:r>
      <w:r>
        <w:rPr>
          <w:rFonts w:hint="eastAsia" w:ascii="仿宋" w:hAnsi="仿宋" w:eastAsia="仿宋" w:cs="仿宋"/>
          <w:sz w:val="32"/>
          <w:szCs w:val="32"/>
          <w:lang w:val="en-US" w:eastAsia="zh-CN"/>
        </w:rPr>
        <w:t>是指省级政府为没有收益的公益性项目发行的、约定一定期限内主要以一般公共预算收入还本付息的政府债券。</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8、专项债券：</w:t>
      </w:r>
      <w:r>
        <w:rPr>
          <w:rFonts w:hint="eastAsia" w:ascii="仿宋" w:hAnsi="仿宋" w:eastAsia="仿宋" w:cs="仿宋"/>
          <w:sz w:val="32"/>
          <w:szCs w:val="32"/>
          <w:lang w:val="en-US" w:eastAsia="zh-CN"/>
        </w:rPr>
        <w:t>是指省级政府为有一定收益的公益性项目发行的、约定一定期限内以公益性项目对应的政府性基金或专项收入还本付息的政府债券。</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9、新增债券：</w:t>
      </w:r>
      <w:r>
        <w:rPr>
          <w:rFonts w:hint="eastAsia" w:ascii="仿宋" w:hAnsi="仿宋" w:eastAsia="仿宋" w:cs="仿宋"/>
          <w:sz w:val="32"/>
          <w:szCs w:val="32"/>
          <w:lang w:val="en-US" w:eastAsia="zh-CN"/>
        </w:rPr>
        <w:t>是指在上级下达的新增政府债务限额内、由省级政府统一发行、用于公益项目资本性支出的政府债券，包括新增一般债券和新增专项债券。</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10、再融资债券。</w:t>
      </w:r>
      <w:r>
        <w:rPr>
          <w:rFonts w:hint="eastAsia" w:ascii="仿宋" w:hAnsi="仿宋" w:eastAsia="仿宋" w:cs="仿宋"/>
          <w:sz w:val="32"/>
          <w:szCs w:val="32"/>
          <w:lang w:val="en-US" w:eastAsia="zh-CN"/>
        </w:rPr>
        <w:t>是指在上级核定额度内发行的、用于偿还以前年度发行的政府债券本金的政府债券，包括再融资一般债券和再融资专项债券。</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11、</w:t>
      </w:r>
      <w:r>
        <w:rPr>
          <w:rFonts w:hint="eastAsia" w:ascii="仿宋" w:hAnsi="仿宋" w:eastAsia="仿宋" w:cs="仿宋"/>
          <w:b/>
          <w:bCs/>
          <w:sz w:val="32"/>
          <w:szCs w:val="32"/>
          <w:lang w:val="zh-CN" w:eastAsia="zh-CN"/>
        </w:rPr>
        <w:t>“</w:t>
      </w:r>
      <w:r>
        <w:rPr>
          <w:rFonts w:hint="eastAsia" w:ascii="仿宋" w:hAnsi="仿宋" w:eastAsia="仿宋" w:cs="仿宋"/>
          <w:b/>
          <w:bCs/>
          <w:sz w:val="32"/>
          <w:szCs w:val="32"/>
          <w:lang w:val="en-US" w:eastAsia="zh-CN"/>
        </w:rPr>
        <w:t>三保”支出：</w:t>
      </w:r>
      <w:r>
        <w:rPr>
          <w:rFonts w:hint="eastAsia" w:ascii="仿宋" w:hAnsi="仿宋" w:eastAsia="仿宋" w:cs="仿宋"/>
          <w:sz w:val="32"/>
          <w:szCs w:val="32"/>
          <w:lang w:val="en-US" w:eastAsia="zh-CN"/>
        </w:rPr>
        <w:t>即保基本民生、保工资、保运转。2019年，为落实减税降费政策，中央要求各级坚持</w:t>
      </w:r>
      <w:r>
        <w:rPr>
          <w:rFonts w:hint="eastAsia" w:ascii="仿宋" w:hAnsi="仿宋" w:eastAsia="仿宋" w:cs="仿宋"/>
          <w:sz w:val="32"/>
          <w:szCs w:val="32"/>
          <w:lang w:val="zh-CN" w:eastAsia="zh-CN"/>
        </w:rPr>
        <w:t>“过</w:t>
      </w:r>
      <w:r>
        <w:rPr>
          <w:rFonts w:hint="eastAsia" w:ascii="仿宋" w:hAnsi="仿宋" w:eastAsia="仿宋" w:cs="仿宋"/>
          <w:sz w:val="32"/>
          <w:szCs w:val="32"/>
          <w:lang w:val="en-US" w:eastAsia="zh-CN"/>
        </w:rPr>
        <w:t>紧日子</w:t>
      </w:r>
      <w:r>
        <w:rPr>
          <w:rFonts w:hint="eastAsia" w:ascii="仿宋" w:hAnsi="仿宋" w:eastAsia="仿宋" w:cs="仿宋"/>
          <w:sz w:val="32"/>
          <w:szCs w:val="32"/>
          <w:lang w:val="zh-CN" w:eastAsia="zh-CN"/>
        </w:rPr>
        <w:t>”，大</w:t>
      </w:r>
      <w:r>
        <w:rPr>
          <w:rFonts w:hint="eastAsia" w:ascii="仿宋" w:hAnsi="仿宋" w:eastAsia="仿宋" w:cs="仿宋"/>
          <w:sz w:val="32"/>
          <w:szCs w:val="32"/>
          <w:lang w:val="en-US" w:eastAsia="zh-CN"/>
        </w:rPr>
        <w:t>力压缩一般性支出，优先保障干部职工工资发放、保障机关事业单位正常运转、保障基本民生支出兑付到位，同时要求坚持</w:t>
      </w:r>
      <w:r>
        <w:rPr>
          <w:rFonts w:hint="eastAsia" w:ascii="仿宋" w:hAnsi="仿宋" w:eastAsia="仿宋" w:cs="仿宋"/>
          <w:sz w:val="32"/>
          <w:szCs w:val="32"/>
          <w:lang w:val="zh-CN" w:eastAsia="zh-CN"/>
        </w:rPr>
        <w:t>“两个</w:t>
      </w:r>
      <w:r>
        <w:rPr>
          <w:rFonts w:hint="eastAsia" w:ascii="仿宋" w:hAnsi="仿宋" w:eastAsia="仿宋" w:cs="仿宋"/>
          <w:sz w:val="32"/>
          <w:szCs w:val="32"/>
          <w:lang w:val="en-US" w:eastAsia="zh-CN"/>
        </w:rPr>
        <w:t>优先”，即坚持</w:t>
      </w:r>
      <w:r>
        <w:rPr>
          <w:rFonts w:hint="eastAsia" w:ascii="仿宋" w:hAnsi="仿宋" w:eastAsia="仿宋" w:cs="仿宋"/>
          <w:sz w:val="32"/>
          <w:szCs w:val="32"/>
          <w:lang w:val="zh-CN" w:eastAsia="zh-CN"/>
        </w:rPr>
        <w:t>“三保”</w:t>
      </w:r>
      <w:r>
        <w:rPr>
          <w:rFonts w:hint="eastAsia" w:ascii="仿宋" w:hAnsi="仿宋" w:eastAsia="仿宋" w:cs="仿宋"/>
          <w:sz w:val="32"/>
          <w:szCs w:val="32"/>
          <w:lang w:val="en-US" w:eastAsia="zh-CN"/>
        </w:rPr>
        <w:t>支出在财政支出中的优先顺序，坚持国家标</w:t>
      </w:r>
      <w:r>
        <w:rPr>
          <w:rFonts w:hint="eastAsia" w:ascii="仿宋" w:hAnsi="仿宋" w:eastAsia="仿宋" w:cs="仿宋"/>
          <w:sz w:val="32"/>
          <w:szCs w:val="32"/>
          <w:lang w:val="zh-CN" w:eastAsia="zh-CN"/>
        </w:rPr>
        <w:t>准的“</w:t>
      </w:r>
      <w:r>
        <w:rPr>
          <w:rFonts w:hint="eastAsia" w:ascii="仿宋" w:hAnsi="仿宋" w:eastAsia="仿宋" w:cs="仿宋"/>
          <w:sz w:val="32"/>
          <w:szCs w:val="32"/>
          <w:lang w:val="en-US" w:eastAsia="zh-CN"/>
        </w:rPr>
        <w:t>三保”支出在</w:t>
      </w:r>
      <w:r>
        <w:rPr>
          <w:rFonts w:hint="eastAsia" w:ascii="仿宋" w:hAnsi="仿宋" w:eastAsia="仿宋" w:cs="仿宋"/>
          <w:sz w:val="32"/>
          <w:szCs w:val="32"/>
          <w:lang w:val="zh-CN" w:eastAsia="zh-CN"/>
        </w:rPr>
        <w:t>“三保</w:t>
      </w:r>
      <w:r>
        <w:rPr>
          <w:rFonts w:hint="eastAsia" w:ascii="仿宋" w:hAnsi="仿宋" w:eastAsia="仿宋" w:cs="仿宋"/>
          <w:sz w:val="32"/>
          <w:szCs w:val="32"/>
          <w:lang w:val="en-US" w:eastAsia="en-US"/>
        </w:rPr>
        <w:t>"</w:t>
      </w:r>
      <w:r>
        <w:rPr>
          <w:rFonts w:hint="eastAsia" w:ascii="仿宋" w:hAnsi="仿宋" w:eastAsia="仿宋" w:cs="仿宋"/>
          <w:sz w:val="32"/>
          <w:szCs w:val="32"/>
          <w:lang w:val="en-US" w:eastAsia="zh-CN"/>
        </w:rPr>
        <w:t>支出中的优先顺序。2020年2月23日，习近平总书记在统筹推进新冠肺炎疫情防控和经济社会发展工作部署会议上的讲话指出：</w:t>
      </w:r>
      <w:r>
        <w:rPr>
          <w:rFonts w:hint="eastAsia" w:ascii="仿宋" w:hAnsi="仿宋" w:eastAsia="仿宋" w:cs="仿宋"/>
          <w:sz w:val="32"/>
          <w:szCs w:val="32"/>
          <w:lang w:val="zh-CN" w:eastAsia="zh-CN"/>
        </w:rPr>
        <w:t>“一</w:t>
      </w:r>
      <w:r>
        <w:rPr>
          <w:rFonts w:hint="eastAsia" w:ascii="仿宋" w:hAnsi="仿宋" w:eastAsia="仿宋" w:cs="仿宋"/>
          <w:sz w:val="32"/>
          <w:szCs w:val="32"/>
          <w:lang w:val="en-US" w:eastAsia="zh-CN"/>
        </w:rPr>
        <w:t>些地方财政受疫情影响较大，要加大转移支付力度，确保基层保工资、保运转、保基本民生”。</w:t>
      </w:r>
      <w:r>
        <w:rPr>
          <w:rFonts w:hint="eastAsia" w:ascii="仿宋" w:hAnsi="仿宋" w:eastAsia="仿宋" w:cs="仿宋"/>
          <w:sz w:val="32"/>
          <w:szCs w:val="32"/>
          <w:lang w:val="en-US" w:eastAsia="en-US"/>
        </w:rPr>
        <w:t xml:space="preserve"> </w:t>
      </w:r>
      <w:r>
        <w:rPr>
          <w:rFonts w:hint="eastAsia" w:ascii="仿宋" w:hAnsi="仿宋" w:eastAsia="仿宋" w:cs="仿宋"/>
          <w:sz w:val="32"/>
          <w:szCs w:val="32"/>
          <w:lang w:val="en-US" w:eastAsia="zh-CN"/>
        </w:rPr>
        <w:t>2020年3月3日国务院常务会议指出，支持基层政府保基本民生、保工资、保运转，是保障群众切身利益的基本要求，也是推动政府履职和各项政策实施的基础条件。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jc w:val="left"/>
        <w:textAlignment w:val="auto"/>
        <w:rPr>
          <w:rFonts w:hint="eastAsia" w:ascii="仿宋" w:hAnsi="仿宋" w:eastAsia="仿宋" w:cs="仿宋"/>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　</w:t>
      </w:r>
    </w:p>
    <w:sectPr>
      <w:footerReference r:id="rId3" w:type="default"/>
      <w:footerReference r:id="rId4" w:type="even"/>
      <w:pgSz w:w="11906" w:h="16838"/>
      <w:pgMar w:top="1383" w:right="1417" w:bottom="1383"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ＤＦ中太楷書体">
    <w:panose1 w:val="02010609010101010101"/>
    <w:charset w:val="80"/>
    <w:family w:val="auto"/>
    <w:pitch w:val="default"/>
    <w:sig w:usb0="00000001" w:usb1="08070000" w:usb2="00000010" w:usb3="00000000" w:csb0="00020000" w:csb1="00000000"/>
  </w:font>
  <w:font w:name="方正粗黑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ＤＦ明朝体W5">
    <w:panose1 w:val="02010609010101010101"/>
    <w:charset w:val="80"/>
    <w:family w:val="auto"/>
    <w:pitch w:val="default"/>
    <w:sig w:usb0="00000001" w:usb1="08070000" w:usb2="00000010" w:usb3="00000000" w:csb0="00020001" w:csb1="00000000"/>
  </w:font>
  <w:font w:name="Aharoni">
    <w:panose1 w:val="02010803020104030203"/>
    <w:charset w:val="00"/>
    <w:family w:val="auto"/>
    <w:pitch w:val="default"/>
    <w:sig w:usb0="00000801" w:usb1="00000000" w:usb2="00000000" w:usb3="00000000" w:csb0="00000020" w:csb1="00200000"/>
  </w:font>
  <w:font w:name="AngsanaUPC">
    <w:panose1 w:val="02020603050405020304"/>
    <w:charset w:val="00"/>
    <w:family w:val="auto"/>
    <w:pitch w:val="default"/>
    <w:sig w:usb0="81000003" w:usb1="00000000" w:usb2="00000000" w:usb3="00000000" w:csb0="00010001" w:csb1="00000000"/>
  </w:font>
  <w:font w:name="Cambria">
    <w:panose1 w:val="02040503050406030204"/>
    <w:charset w:val="00"/>
    <w:family w:val="auto"/>
    <w:pitch w:val="default"/>
    <w:sig w:usb0="E00002FF" w:usb1="400004FF" w:usb2="00000000" w:usb3="00000000" w:csb0="2000019F" w:csb1="00000000"/>
  </w:font>
  <w:font w:name="Comic Sans MS">
    <w:panose1 w:val="030F0702030302020204"/>
    <w:charset w:val="00"/>
    <w:family w:val="auto"/>
    <w:pitch w:val="default"/>
    <w:sig w:usb0="00000287" w:usb1="40000013" w:usb2="00000000" w:usb3="00000000" w:csb0="2000009F" w:csb1="00000000"/>
  </w:font>
  <w:font w:name="Clarendon BT">
    <w:panose1 w:val="02040704040505020204"/>
    <w:charset w:val="00"/>
    <w:family w:val="auto"/>
    <w:pitch w:val="default"/>
    <w:sig w:usb0="800000AF" w:usb1="1000204A"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42</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571B71"/>
    <w:rsid w:val="04BD2DD5"/>
    <w:rsid w:val="20956E18"/>
    <w:rsid w:val="235A0257"/>
    <w:rsid w:val="274A441F"/>
    <w:rsid w:val="27905DBD"/>
    <w:rsid w:val="3B571B71"/>
    <w:rsid w:val="3F1126D1"/>
    <w:rsid w:val="49CC4C71"/>
    <w:rsid w:val="51F92A2F"/>
    <w:rsid w:val="53FC140F"/>
    <w:rsid w:val="55E54889"/>
    <w:rsid w:val="6BC51E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link w:val="6"/>
    <w:semiHidden/>
    <w:qFormat/>
    <w:uiPriority w:val="0"/>
    <w:rPr>
      <w:rFonts w:eastAsia="仿宋_GB2312" w:cs="宋体"/>
      <w:b/>
      <w:kern w:val="0"/>
      <w:sz w:val="24"/>
      <w:szCs w:val="28"/>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iPriority w:val="0"/>
    <w:rPr>
      <w:rFonts w:eastAsia="楷体_GB2312"/>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四级标题1.1.1.1"/>
    <w:basedOn w:val="1"/>
    <w:next w:val="1"/>
    <w:link w:val="5"/>
    <w:qFormat/>
    <w:uiPriority w:val="0"/>
    <w:pPr>
      <w:keepNext/>
      <w:keepLines/>
      <w:widowControl/>
      <w:adjustRightInd w:val="0"/>
      <w:spacing w:before="40" w:after="40" w:line="360" w:lineRule="auto"/>
      <w:ind w:firstLine="200" w:firstLineChars="200"/>
      <w:outlineLvl w:val="3"/>
    </w:pPr>
    <w:rPr>
      <w:rFonts w:eastAsia="仿宋_GB2312" w:cs="宋体"/>
      <w:b/>
      <w:kern w:val="0"/>
      <w:sz w:val="24"/>
      <w:szCs w:val="28"/>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2021-01-16T07:05:00Z</dcterms:created>
  <dc:creator>预算处收发(拟稿)</dc:creator>
  <cp:lastModifiedBy>XR</cp:lastModifiedBy>
  <cp:lastPrinted>2021-05-12T03:19:06Z</cp:lastPrinted>
  <dcterms:modified xsi:type="dcterms:W3CDTF">2021-05-12T03:19:20Z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B983E6A6672D4E70B8E0081D88CE5148</vt:lpwstr>
  </property>
</Properties>
</file>