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绥德县司法局</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2020年部门决算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3052" w:firstLineChars="9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3052" w:firstLineChars="9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2020年部门决算表</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二、收入决算总表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三、支出决算总表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38" w:leftChars="304"/>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2020年部门决算情况说明</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ind w:firstLine="640" w:firstLineChars="200"/>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九、预算绩效情况说明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十、其他重要事项说明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960" w:firstLineChars="3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（一）部门的主要职责</w:t>
      </w:r>
    </w:p>
    <w:p>
      <w:pPr>
        <w:ind w:firstLine="1292" w:firstLineChars="404"/>
        <w:rPr>
          <w:rFonts w:ascii="仿宋_GB2312" w:eastAsia="仿宋_GB2312"/>
          <w:color w:val="000000"/>
          <w:sz w:val="32"/>
        </w:rPr>
      </w:pPr>
      <w:r>
        <w:rPr>
          <w:rFonts w:ascii="仿宋_GB2312" w:eastAsia="仿宋_GB2312"/>
          <w:color w:val="000000"/>
          <w:sz w:val="32"/>
        </w:rPr>
        <w:t>1、贯彻执行国家司法行政工作的方针、政策和法律、法规，拟订全</w:t>
      </w:r>
      <w:r>
        <w:rPr>
          <w:rFonts w:hint="eastAsia" w:ascii="仿宋_GB2312" w:eastAsia="仿宋_GB2312"/>
          <w:color w:val="000000"/>
          <w:sz w:val="32"/>
        </w:rPr>
        <w:t>县司法行政工作的发展规划并组织实施。</w:t>
      </w:r>
    </w:p>
    <w:p>
      <w:pPr>
        <w:ind w:firstLine="1292" w:firstLineChars="404"/>
        <w:rPr>
          <w:rFonts w:ascii="仿宋_GB2312" w:eastAsia="仿宋_GB2312"/>
          <w:color w:val="000000"/>
          <w:sz w:val="32"/>
        </w:rPr>
      </w:pPr>
      <w:r>
        <w:rPr>
          <w:rFonts w:ascii="仿宋_GB2312" w:eastAsia="仿宋_GB2312"/>
          <w:color w:val="000000"/>
          <w:sz w:val="32"/>
        </w:rPr>
        <w:t>2、拟订全县法制宣传、普及法律常识和依法治县规划并组织实施，</w:t>
      </w:r>
      <w:r>
        <w:rPr>
          <w:rFonts w:hint="eastAsia" w:ascii="仿宋_GB2312" w:eastAsia="仿宋_GB2312"/>
          <w:color w:val="000000"/>
          <w:sz w:val="32"/>
        </w:rPr>
        <w:t>指导全县地方、行业法制宣传和基层依法治理工作。</w:t>
      </w:r>
    </w:p>
    <w:p>
      <w:pPr>
        <w:ind w:firstLine="1292" w:firstLineChars="404"/>
        <w:rPr>
          <w:rFonts w:ascii="仿宋_GB2312" w:eastAsia="仿宋_GB2312"/>
          <w:color w:val="000000"/>
          <w:sz w:val="32"/>
        </w:rPr>
      </w:pPr>
      <w:r>
        <w:rPr>
          <w:rFonts w:ascii="仿宋_GB2312" w:eastAsia="仿宋_GB2312"/>
          <w:color w:val="000000"/>
          <w:sz w:val="32"/>
        </w:rPr>
        <w:t>3、负责监督、指导全县律师、律师所、公证员、公证处和社会法律</w:t>
      </w:r>
      <w:r>
        <w:rPr>
          <w:rFonts w:hint="eastAsia" w:ascii="仿宋_GB2312" w:eastAsia="仿宋_GB2312"/>
          <w:color w:val="000000"/>
          <w:sz w:val="32"/>
        </w:rPr>
        <w:t>服务机构工作。</w:t>
      </w:r>
    </w:p>
    <w:p>
      <w:pPr>
        <w:ind w:firstLine="1292" w:firstLineChars="404"/>
        <w:rPr>
          <w:rFonts w:ascii="仿宋_GB2312" w:eastAsia="仿宋_GB2312"/>
          <w:color w:val="000000"/>
          <w:sz w:val="32"/>
        </w:rPr>
      </w:pPr>
      <w:r>
        <w:rPr>
          <w:rFonts w:ascii="仿宋_GB2312" w:eastAsia="仿宋_GB2312"/>
          <w:color w:val="000000"/>
          <w:sz w:val="32"/>
        </w:rPr>
        <w:t>4、组织实施全县的法律援助工作。</w:t>
      </w:r>
    </w:p>
    <w:p>
      <w:pPr>
        <w:ind w:firstLine="1292" w:firstLineChars="404"/>
        <w:rPr>
          <w:rFonts w:ascii="仿宋_GB2312" w:eastAsia="仿宋_GB2312"/>
          <w:color w:val="000000"/>
          <w:sz w:val="32"/>
        </w:rPr>
      </w:pPr>
      <w:r>
        <w:rPr>
          <w:rFonts w:ascii="仿宋_GB2312" w:eastAsia="仿宋_GB2312"/>
          <w:color w:val="000000"/>
          <w:sz w:val="32"/>
        </w:rPr>
        <w:t>5、主管基层司法所、司法助理员。负责全县基层司法行政工作和人</w:t>
      </w:r>
      <w:r>
        <w:rPr>
          <w:rFonts w:hint="eastAsia" w:ascii="仿宋_GB2312" w:eastAsia="仿宋_GB2312"/>
          <w:color w:val="000000"/>
          <w:sz w:val="32"/>
        </w:rPr>
        <w:t>民调解工作。</w:t>
      </w:r>
    </w:p>
    <w:p>
      <w:pPr>
        <w:ind w:firstLine="1292" w:firstLineChars="404"/>
        <w:rPr>
          <w:rFonts w:ascii="仿宋_GB2312" w:eastAsia="仿宋_GB2312"/>
          <w:color w:val="000000"/>
          <w:sz w:val="32"/>
        </w:rPr>
      </w:pPr>
      <w:r>
        <w:rPr>
          <w:rFonts w:ascii="仿宋_GB2312" w:eastAsia="仿宋_GB2312"/>
          <w:color w:val="000000"/>
          <w:sz w:val="32"/>
        </w:rPr>
        <w:t>6、组织对刑满释放和解除劳教人员的安置帮教工作。</w:t>
      </w:r>
    </w:p>
    <w:p>
      <w:pPr>
        <w:ind w:firstLine="1292" w:firstLineChars="404"/>
        <w:rPr>
          <w:rFonts w:ascii="仿宋_GB2312" w:eastAsia="仿宋_GB2312"/>
          <w:color w:val="000000"/>
          <w:sz w:val="32"/>
        </w:rPr>
      </w:pPr>
      <w:r>
        <w:rPr>
          <w:rFonts w:ascii="仿宋_GB2312" w:eastAsia="仿宋_GB2312"/>
          <w:color w:val="000000"/>
          <w:sz w:val="32"/>
        </w:rPr>
        <w:t>7、组织实施社区矫正工作。</w:t>
      </w:r>
    </w:p>
    <w:p>
      <w:pPr>
        <w:ind w:firstLine="1292" w:firstLineChars="404"/>
        <w:rPr>
          <w:rFonts w:ascii="仿宋_GB2312" w:eastAsia="仿宋_GB2312"/>
          <w:color w:val="000000"/>
          <w:sz w:val="32"/>
        </w:rPr>
      </w:pPr>
      <w:r>
        <w:rPr>
          <w:rFonts w:ascii="仿宋_GB2312" w:eastAsia="仿宋_GB2312"/>
          <w:color w:val="000000"/>
          <w:sz w:val="32"/>
        </w:rPr>
        <w:t>8、指导基层法律服务工作。</w:t>
      </w:r>
    </w:p>
    <w:p>
      <w:pPr>
        <w:ind w:firstLine="1292" w:firstLineChars="404"/>
        <w:rPr>
          <w:rFonts w:ascii="仿宋_GB2312" w:eastAsia="仿宋_GB2312"/>
          <w:color w:val="000000"/>
          <w:sz w:val="32"/>
        </w:rPr>
      </w:pPr>
      <w:r>
        <w:rPr>
          <w:rFonts w:ascii="仿宋_GB2312" w:eastAsia="仿宋_GB2312"/>
          <w:color w:val="000000"/>
          <w:sz w:val="32"/>
        </w:rPr>
        <w:t>9、参与社会综合治理工作。指导、监督全县司法行政系统的队伍建</w:t>
      </w:r>
      <w:r>
        <w:rPr>
          <w:rFonts w:hint="eastAsia" w:ascii="仿宋_GB2312" w:eastAsia="仿宋_GB2312"/>
          <w:color w:val="000000"/>
          <w:sz w:val="32"/>
        </w:rPr>
        <w:t>设和思想作风、工作作风建设，负责全县司法行政系统的警务管理和警务督察工作。</w:t>
      </w:r>
    </w:p>
    <w:p>
      <w:pPr>
        <w:ind w:firstLine="1292" w:firstLineChars="404"/>
        <w:rPr>
          <w:rFonts w:ascii="仿宋_GB2312" w:eastAsia="仿宋_GB2312"/>
          <w:color w:val="000000"/>
          <w:sz w:val="32"/>
        </w:rPr>
      </w:pPr>
      <w:r>
        <w:rPr>
          <w:rFonts w:ascii="仿宋_GB2312" w:eastAsia="仿宋_GB2312"/>
          <w:color w:val="000000"/>
          <w:sz w:val="32"/>
        </w:rPr>
        <w:t>10、承办县委依法治县领导小组办公室日常工作。</w:t>
      </w:r>
    </w:p>
    <w:p>
      <w:pPr>
        <w:ind w:firstLine="1292" w:firstLineChars="404"/>
        <w:rPr>
          <w:rFonts w:ascii="仿宋_GB2312" w:eastAsia="仿宋_GB2312"/>
          <w:color w:val="000000"/>
          <w:sz w:val="32"/>
        </w:rPr>
      </w:pPr>
      <w:r>
        <w:rPr>
          <w:rFonts w:ascii="仿宋_GB2312" w:eastAsia="仿宋_GB2312"/>
          <w:color w:val="000000"/>
          <w:sz w:val="32"/>
        </w:rPr>
        <w:t>11、承办上级司法行政部门和县政府交办的其他事项。</w:t>
      </w:r>
    </w:p>
    <w:p>
      <w:pPr>
        <w:ind w:firstLine="1298" w:firstLineChars="4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pPr>
        <w:spacing w:line="500" w:lineRule="exact"/>
        <w:ind w:left="638" w:leftChars="304" w:firstLine="640" w:firstLineChars="200"/>
        <w:rPr>
          <w:rFonts w:ascii="仿宋_GB2312" w:hAnsi="仿宋_GB2312" w:eastAsia="仿宋_GB2312"/>
          <w:color w:val="000000"/>
          <w:sz w:val="32"/>
        </w:rPr>
      </w:pPr>
      <w:r>
        <w:rPr>
          <w:rFonts w:hint="eastAsia" w:ascii="仿宋_GB2312" w:hAnsi="仿宋_GB2312" w:eastAsia="仿宋_GB2312"/>
          <w:color w:val="000000"/>
          <w:sz w:val="32"/>
        </w:rPr>
        <w:t>本部门含局本级，及下属</w:t>
      </w:r>
      <w:r>
        <w:rPr>
          <w:rFonts w:ascii="仿宋_GB2312" w:hAnsi="仿宋_GB2312" w:eastAsia="仿宋_GB2312"/>
          <w:color w:val="000000"/>
          <w:sz w:val="32"/>
        </w:rPr>
        <w:t>1</w:t>
      </w:r>
      <w:r>
        <w:rPr>
          <w:rFonts w:hint="eastAsia" w:ascii="仿宋_GB2312" w:hAnsi="仿宋_GB2312" w:eastAsia="仿宋_GB2312"/>
          <w:color w:val="000000"/>
          <w:sz w:val="32"/>
        </w:rPr>
        <w:t>个事业单位公证处。现有编制</w:t>
      </w:r>
      <w:r>
        <w:rPr>
          <w:rFonts w:hint="eastAsia" w:ascii="仿宋_GB2312" w:hAnsi="仿宋_GB2312" w:eastAsia="仿宋_GB2312"/>
          <w:color w:val="000000"/>
          <w:sz w:val="32"/>
          <w:lang w:val="en-US" w:eastAsia="zh-CN"/>
        </w:rPr>
        <w:t>6</w:t>
      </w:r>
      <w:r>
        <w:rPr>
          <w:rFonts w:ascii="仿宋_GB2312" w:hAnsi="仿宋_GB2312" w:eastAsia="仿宋_GB2312"/>
          <w:color w:val="000000"/>
          <w:sz w:val="32"/>
        </w:rPr>
        <w:t>3</w:t>
      </w:r>
      <w:r>
        <w:rPr>
          <w:rFonts w:hint="eastAsia" w:ascii="仿宋_GB2312" w:hAnsi="仿宋_GB2312" w:eastAsia="仿宋_GB2312"/>
          <w:color w:val="000000"/>
          <w:sz w:val="32"/>
        </w:rPr>
        <w:t>人，其中行政编制</w:t>
      </w:r>
      <w:r>
        <w:rPr>
          <w:rFonts w:ascii="仿宋_GB2312" w:hAnsi="仿宋_GB2312" w:eastAsia="仿宋_GB2312"/>
          <w:color w:val="000000"/>
          <w:sz w:val="32"/>
        </w:rPr>
        <w:t xml:space="preserve"> 46 名，</w:t>
      </w:r>
      <w:r>
        <w:rPr>
          <w:rFonts w:hint="eastAsia" w:ascii="仿宋_GB2312" w:hAnsi="仿宋_GB2312" w:eastAsia="仿宋_GB2312"/>
          <w:color w:val="000000"/>
          <w:sz w:val="32"/>
        </w:rPr>
        <w:t>事业编制</w:t>
      </w:r>
      <w:r>
        <w:rPr>
          <w:rFonts w:hint="eastAsia" w:ascii="仿宋_GB2312" w:hAnsi="仿宋_GB2312" w:eastAsia="仿宋_GB2312"/>
          <w:color w:val="000000"/>
          <w:sz w:val="32"/>
          <w:lang w:val="en-US" w:eastAsia="zh-CN"/>
        </w:rPr>
        <w:t>17</w:t>
      </w:r>
      <w:r>
        <w:rPr>
          <w:rFonts w:hint="eastAsia" w:ascii="仿宋_GB2312" w:hAnsi="仿宋_GB2312" w:eastAsia="仿宋_GB2312"/>
          <w:color w:val="000000"/>
          <w:sz w:val="32"/>
        </w:rPr>
        <w:t>人，</w:t>
      </w:r>
      <w:r>
        <w:rPr>
          <w:rFonts w:ascii="仿宋_GB2312" w:hAnsi="仿宋_GB2312" w:eastAsia="仿宋_GB2312"/>
          <w:color w:val="000000"/>
          <w:sz w:val="32"/>
        </w:rPr>
        <w:t>有在职人数</w:t>
      </w:r>
      <w:r>
        <w:rPr>
          <w:rFonts w:hint="eastAsia" w:ascii="仿宋_GB2312" w:hAnsi="仿宋_GB2312" w:eastAsia="仿宋_GB2312"/>
          <w:color w:val="000000"/>
          <w:sz w:val="32"/>
          <w:lang w:val="en-US" w:eastAsia="zh-CN"/>
        </w:rPr>
        <w:t>6</w:t>
      </w:r>
      <w:bookmarkStart w:id="2" w:name="_GoBack"/>
      <w:bookmarkEnd w:id="2"/>
      <w:r>
        <w:rPr>
          <w:rFonts w:ascii="仿宋_GB2312" w:hAnsi="仿宋_GB2312" w:eastAsia="仿宋_GB2312"/>
          <w:color w:val="000000"/>
          <w:sz w:val="32"/>
        </w:rPr>
        <w:t>3 人，局长 1 名，副局长3名，</w:t>
      </w:r>
      <w:r>
        <w:rPr>
          <w:rFonts w:hint="eastAsia" w:ascii="仿宋_GB2312" w:hAnsi="仿宋_GB2312" w:eastAsia="仿宋_GB2312"/>
          <w:color w:val="000000"/>
          <w:sz w:val="32"/>
        </w:rPr>
        <w:t>内设岗位</w:t>
      </w:r>
      <w:r>
        <w:rPr>
          <w:rFonts w:ascii="仿宋_GB2312" w:hAnsi="仿宋_GB2312" w:eastAsia="仿宋_GB2312"/>
          <w:color w:val="000000"/>
          <w:sz w:val="32"/>
        </w:rPr>
        <w:t xml:space="preserve"> 14 个，包括办公室、法制宣传教育、法律援助、安置帮教、</w:t>
      </w:r>
      <w:r>
        <w:rPr>
          <w:rFonts w:hint="eastAsia" w:ascii="仿宋_GB2312" w:hAnsi="仿宋_GB2312" w:eastAsia="仿宋_GB2312"/>
          <w:color w:val="000000"/>
          <w:sz w:val="32"/>
        </w:rPr>
        <w:t>社区矫正、会计、出纳、公证律师、社会法律服务、基层工作等。</w:t>
      </w:r>
    </w:p>
    <w:p>
      <w:pPr>
        <w:widowControl/>
        <w:ind w:firstLine="1280" w:firstLineChars="4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left="319" w:leftChars="152" w:firstLine="652" w:firstLineChars="204"/>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纳入2020年本部门决算编制范围的单位共2个，只包括本级及所属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个二级预算单位：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序号</w:t>
            </w:r>
          </w:p>
        </w:tc>
        <w:tc>
          <w:tcPr>
            <w:tcW w:w="6808"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6808"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绥德县司法局（机关）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2</w:t>
            </w:r>
          </w:p>
        </w:tc>
        <w:tc>
          <w:tcPr>
            <w:tcW w:w="6808"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仿宋_GB2312" w:hAnsi="仿宋_GB2312" w:eastAsia="仿宋_GB2312"/>
                <w:color w:val="000000"/>
                <w:sz w:val="32"/>
              </w:rPr>
            </w:pPr>
            <w:r>
              <w:rPr>
                <w:rFonts w:hint="eastAsia" w:ascii="仿宋_GB2312" w:hAnsi="仿宋_GB2312" w:eastAsia="仿宋_GB2312"/>
                <w:color w:val="000000"/>
                <w:sz w:val="32"/>
              </w:rPr>
              <w:t>绥德县公证处</w:t>
            </w:r>
          </w:p>
        </w:tc>
      </w:tr>
    </w:tbl>
    <w:p>
      <w:pPr>
        <w:ind w:firstLine="643" w:firstLineChars="200"/>
        <w:rPr>
          <w:rFonts w:ascii="黑体" w:hAnsi="黑体" w:eastAsia="黑体"/>
          <w:b/>
          <w:bCs/>
          <w:sz w:val="32"/>
          <w:szCs w:val="32"/>
        </w:rPr>
      </w:pPr>
    </w:p>
    <w:p>
      <w:pPr>
        <w:ind w:firstLine="964" w:firstLineChars="300"/>
        <w:rPr>
          <w:rFonts w:ascii="黑体" w:hAnsi="黑体" w:eastAsia="黑体"/>
          <w:b/>
          <w:bCs/>
          <w:sz w:val="32"/>
          <w:szCs w:val="32"/>
        </w:rPr>
      </w:pPr>
      <w:r>
        <w:rPr>
          <w:rFonts w:hint="eastAsia" w:ascii="黑体" w:hAnsi="黑体" w:eastAsia="黑体"/>
          <w:b/>
          <w:bCs/>
          <w:sz w:val="32"/>
          <w:szCs w:val="32"/>
        </w:rPr>
        <w:t>三、部门人员情况</w:t>
      </w:r>
    </w:p>
    <w:p>
      <w:pPr>
        <w:pStyle w:val="2"/>
        <w:spacing w:after="0" w:line="500" w:lineRule="exact"/>
        <w:ind w:left="319" w:leftChars="152" w:firstLine="640" w:firstLineChars="200"/>
        <w:rPr>
          <w:rFonts w:ascii="仿宋_GB2312" w:hAnsi="宋体" w:eastAsia="仿宋_GB2312"/>
          <w:color w:val="000000" w:themeColor="text1"/>
          <w:kern w:val="0"/>
          <w:sz w:val="32"/>
          <w14:textFill>
            <w14:solidFill>
              <w14:schemeClr w14:val="tx1"/>
            </w14:solidFill>
          </w14:textFill>
        </w:rPr>
      </w:pPr>
      <w:r>
        <w:rPr>
          <w:rFonts w:ascii="仿宋_GB2312" w:hAnsi="宋体" w:eastAsia="仿宋_GB2312"/>
          <w:color w:val="000000" w:themeColor="text1"/>
          <w:kern w:val="0"/>
          <w:sz w:val="32"/>
          <w14:textFill>
            <w14:solidFill>
              <w14:schemeClr w14:val="tx1"/>
            </w14:solidFill>
          </w14:textFill>
        </w:rPr>
        <w:t>截止2020年年底</w:t>
      </w:r>
      <w:r>
        <w:rPr>
          <w:rFonts w:hint="eastAsia" w:ascii="仿宋_GB2312" w:hAnsi="宋体" w:eastAsia="仿宋_GB2312"/>
          <w:color w:val="000000" w:themeColor="text1"/>
          <w:kern w:val="0"/>
          <w:sz w:val="32"/>
          <w14:textFill>
            <w14:solidFill>
              <w14:schemeClr w14:val="tx1"/>
            </w14:solidFill>
          </w14:textFill>
        </w:rPr>
        <w:t>司法局</w:t>
      </w:r>
      <w:r>
        <w:rPr>
          <w:rFonts w:ascii="仿宋_GB2312" w:hAnsi="宋体" w:eastAsia="仿宋_GB2312"/>
          <w:color w:val="000000" w:themeColor="text1"/>
          <w:kern w:val="0"/>
          <w:sz w:val="32"/>
          <w14:textFill>
            <w14:solidFill>
              <w14:schemeClr w14:val="tx1"/>
            </w14:solidFill>
          </w14:textFill>
        </w:rPr>
        <w:t>总编制</w:t>
      </w:r>
      <w:r>
        <w:rPr>
          <w:rFonts w:hint="eastAsia" w:ascii="仿宋_GB2312" w:hAnsi="宋体" w:eastAsia="仿宋_GB2312"/>
          <w:color w:val="000000" w:themeColor="text1"/>
          <w:kern w:val="0"/>
          <w:sz w:val="32"/>
          <w:lang w:val="en-US" w:eastAsia="zh-CN"/>
          <w14:textFill>
            <w14:solidFill>
              <w14:schemeClr w14:val="tx1"/>
            </w14:solidFill>
          </w14:textFill>
        </w:rPr>
        <w:t>63</w:t>
      </w:r>
      <w:r>
        <w:rPr>
          <w:rFonts w:ascii="仿宋_GB2312" w:hAnsi="宋体" w:eastAsia="仿宋_GB2312"/>
          <w:color w:val="000000" w:themeColor="text1"/>
          <w:kern w:val="0"/>
          <w:sz w:val="32"/>
          <w14:textFill>
            <w14:solidFill>
              <w14:schemeClr w14:val="tx1"/>
            </w14:solidFill>
          </w14:textFill>
        </w:rPr>
        <w:t>名，其中行政编制</w:t>
      </w:r>
      <w:r>
        <w:rPr>
          <w:rFonts w:hint="eastAsia" w:ascii="仿宋_GB2312" w:hAnsi="宋体" w:eastAsia="仿宋_GB2312"/>
          <w:color w:val="000000" w:themeColor="text1"/>
          <w:kern w:val="0"/>
          <w:sz w:val="32"/>
          <w:lang w:val="en-US" w:eastAsia="zh-CN"/>
          <w14:textFill>
            <w14:solidFill>
              <w14:schemeClr w14:val="tx1"/>
            </w14:solidFill>
          </w14:textFill>
        </w:rPr>
        <w:t>46</w:t>
      </w:r>
      <w:r>
        <w:rPr>
          <w:rFonts w:ascii="仿宋_GB2312" w:hAnsi="宋体" w:eastAsia="仿宋_GB2312"/>
          <w:color w:val="000000" w:themeColor="text1"/>
          <w:kern w:val="0"/>
          <w:sz w:val="32"/>
          <w14:textFill>
            <w14:solidFill>
              <w14:schemeClr w14:val="tx1"/>
            </w14:solidFill>
          </w14:textFill>
        </w:rPr>
        <w:t>名，事业编制</w:t>
      </w:r>
      <w:r>
        <w:rPr>
          <w:rFonts w:hint="eastAsia" w:ascii="仿宋_GB2312" w:hAnsi="宋体" w:eastAsia="仿宋_GB2312"/>
          <w:color w:val="000000" w:themeColor="text1"/>
          <w:kern w:val="0"/>
          <w:sz w:val="32"/>
          <w:lang w:val="en-US" w:eastAsia="zh-CN"/>
          <w14:textFill>
            <w14:solidFill>
              <w14:schemeClr w14:val="tx1"/>
            </w14:solidFill>
          </w14:textFill>
        </w:rPr>
        <w:t>17</w:t>
      </w:r>
      <w:r>
        <w:rPr>
          <w:rFonts w:ascii="仿宋_GB2312" w:hAnsi="宋体" w:eastAsia="仿宋_GB2312"/>
          <w:color w:val="000000" w:themeColor="text1"/>
          <w:kern w:val="0"/>
          <w:sz w:val="32"/>
          <w14:textFill>
            <w14:solidFill>
              <w14:schemeClr w14:val="tx1"/>
            </w14:solidFill>
          </w14:textFill>
        </w:rPr>
        <w:t>名； 实有人员</w:t>
      </w:r>
      <w:r>
        <w:rPr>
          <w:rFonts w:hint="eastAsia" w:ascii="仿宋_GB2312" w:hAnsi="宋体" w:eastAsia="仿宋_GB2312"/>
          <w:color w:val="000000" w:themeColor="text1"/>
          <w:kern w:val="0"/>
          <w:sz w:val="32"/>
          <w:lang w:val="en-US" w:eastAsia="zh-CN"/>
          <w14:textFill>
            <w14:solidFill>
              <w14:schemeClr w14:val="tx1"/>
            </w14:solidFill>
          </w14:textFill>
        </w:rPr>
        <w:t>63</w:t>
      </w:r>
      <w:r>
        <w:rPr>
          <w:rFonts w:ascii="仿宋_GB2312" w:hAnsi="宋体" w:eastAsia="仿宋_GB2312"/>
          <w:color w:val="000000" w:themeColor="text1"/>
          <w:kern w:val="0"/>
          <w:sz w:val="32"/>
          <w14:textFill>
            <w14:solidFill>
              <w14:schemeClr w14:val="tx1"/>
            </w14:solidFill>
          </w14:textFill>
        </w:rPr>
        <w:t>人，其中行政</w:t>
      </w:r>
      <w:r>
        <w:rPr>
          <w:rFonts w:hint="eastAsia" w:ascii="仿宋_GB2312" w:hAnsi="宋体" w:eastAsia="仿宋_GB2312"/>
          <w:color w:val="000000" w:themeColor="text1"/>
          <w:kern w:val="0"/>
          <w:sz w:val="32"/>
          <w:lang w:val="en-US" w:eastAsia="zh-CN"/>
          <w14:textFill>
            <w14:solidFill>
              <w14:schemeClr w14:val="tx1"/>
            </w14:solidFill>
          </w14:textFill>
        </w:rPr>
        <w:t>46</w:t>
      </w:r>
      <w:r>
        <w:rPr>
          <w:rFonts w:ascii="仿宋_GB2312" w:hAnsi="宋体" w:eastAsia="仿宋_GB2312"/>
          <w:color w:val="000000" w:themeColor="text1"/>
          <w:kern w:val="0"/>
          <w:sz w:val="32"/>
          <w14:textFill>
            <w14:solidFill>
              <w14:schemeClr w14:val="tx1"/>
            </w14:solidFill>
          </w14:textFill>
        </w:rPr>
        <w:t>人、事业</w:t>
      </w:r>
      <w:r>
        <w:rPr>
          <w:rFonts w:hint="eastAsia" w:ascii="仿宋_GB2312" w:hAnsi="宋体" w:eastAsia="仿宋_GB2312"/>
          <w:color w:val="000000" w:themeColor="text1"/>
          <w:kern w:val="0"/>
          <w:sz w:val="32"/>
          <w:lang w:val="en-US" w:eastAsia="zh-CN"/>
          <w14:textFill>
            <w14:solidFill>
              <w14:schemeClr w14:val="tx1"/>
            </w14:solidFill>
          </w14:textFill>
        </w:rPr>
        <w:t>17</w:t>
      </w:r>
      <w:r>
        <w:rPr>
          <w:rFonts w:ascii="仿宋_GB2312" w:hAnsi="宋体" w:eastAsia="仿宋_GB2312"/>
          <w:color w:val="000000" w:themeColor="text1"/>
          <w:kern w:val="0"/>
          <w:sz w:val="32"/>
          <w14:textFill>
            <w14:solidFill>
              <w14:schemeClr w14:val="tx1"/>
            </w14:solidFill>
          </w14:textFill>
        </w:rPr>
        <w:t>人，无离退休人员（移交社保中心）。</w:t>
      </w:r>
    </w:p>
    <w:p>
      <w:pPr>
        <w:pStyle w:val="2"/>
        <w:ind w:firstLine="480" w:firstLineChars="200"/>
        <w:jc w:val="center"/>
        <w:rPr>
          <w:rFonts w:ascii="宋体" w:hAnsi="宋体"/>
          <w:color w:val="000000"/>
          <w:kern w:val="0"/>
          <w:sz w:val="24"/>
        </w:rPr>
      </w:pPr>
      <w:r>
        <w:rPr>
          <w:rFonts w:ascii="宋体" w:hAnsi="宋体"/>
          <w:color w:val="000000"/>
          <w:kern w:val="0"/>
          <w:sz w:val="24"/>
        </w:rPr>
        <w:drawing>
          <wp:anchor distT="0" distB="0" distL="114300" distR="114300" simplePos="0" relativeHeight="251659264" behindDoc="0" locked="0" layoutInCell="1" allowOverlap="1">
            <wp:simplePos x="0" y="0"/>
            <wp:positionH relativeFrom="column">
              <wp:posOffset>624840</wp:posOffset>
            </wp:positionH>
            <wp:positionV relativeFrom="paragraph">
              <wp:posOffset>151765</wp:posOffset>
            </wp:positionV>
            <wp:extent cx="5006340" cy="2773680"/>
            <wp:effectExtent l="0" t="0" r="3810" b="762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ind w:firstLine="480" w:firstLineChars="200"/>
        <w:jc w:val="center"/>
        <w:rPr>
          <w:rFonts w:ascii="宋体" w:hAnsi="宋体"/>
          <w:color w:val="000000"/>
          <w:kern w:val="0"/>
          <w:sz w:val="24"/>
        </w:rPr>
      </w:pPr>
    </w:p>
    <w:p>
      <w:pPr>
        <w:pStyle w:val="2"/>
        <w:ind w:firstLine="480" w:firstLineChars="200"/>
        <w:jc w:val="center"/>
        <w:rPr>
          <w:rFonts w:ascii="宋体" w:hAnsi="宋体"/>
          <w:color w:val="000000"/>
          <w:kern w:val="0"/>
          <w:sz w:val="24"/>
        </w:rPr>
      </w:pPr>
    </w:p>
    <w:p>
      <w:pPr>
        <w:pStyle w:val="2"/>
        <w:ind w:firstLine="480" w:firstLineChars="200"/>
        <w:jc w:val="center"/>
        <w:rPr>
          <w:rFonts w:ascii="宋体" w:hAnsi="宋体"/>
          <w:color w:val="000000"/>
          <w:kern w:val="0"/>
          <w:sz w:val="24"/>
        </w:rPr>
      </w:pPr>
    </w:p>
    <w:p>
      <w:pPr>
        <w:pStyle w:val="2"/>
        <w:ind w:firstLine="480" w:firstLineChars="200"/>
        <w:jc w:val="center"/>
        <w:rPr>
          <w:rFonts w:ascii="宋体" w:hAnsi="宋体"/>
          <w:color w:val="000000"/>
          <w:kern w:val="0"/>
          <w:sz w:val="24"/>
        </w:rPr>
      </w:pPr>
    </w:p>
    <w:p>
      <w:pPr>
        <w:pStyle w:val="2"/>
        <w:ind w:firstLine="480" w:firstLineChars="200"/>
        <w:jc w:val="center"/>
        <w:rPr>
          <w:rFonts w:ascii="宋体" w:hAnsi="宋体"/>
          <w:color w:val="000000"/>
          <w:kern w:val="0"/>
          <w:sz w:val="24"/>
        </w:rPr>
      </w:pPr>
    </w:p>
    <w:p>
      <w:pPr>
        <w:pStyle w:val="2"/>
        <w:ind w:firstLine="480" w:firstLineChars="200"/>
        <w:jc w:val="center"/>
        <w:rPr>
          <w:rFonts w:ascii="宋体" w:hAnsi="宋体"/>
          <w:color w:val="000000"/>
          <w:kern w:val="0"/>
          <w:sz w:val="24"/>
        </w:rPr>
      </w:pPr>
    </w:p>
    <w:p>
      <w:pPr>
        <w:widowControl/>
        <w:jc w:val="center"/>
        <w:rPr>
          <w:sz w:val="44"/>
          <w:szCs w:val="44"/>
        </w:rPr>
      </w:pPr>
      <w:r>
        <w:rPr>
          <w:rFonts w:hint="eastAsia" w:ascii="黑体" w:hAnsi="宋体" w:eastAsia="黑体"/>
          <w:color w:val="000000"/>
          <w:kern w:val="0"/>
          <w:sz w:val="44"/>
          <w:szCs w:val="44"/>
          <w:lang w:bidi="ar"/>
        </w:rPr>
        <w:t xml:space="preserve"> </w:t>
      </w: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bidi="ar"/>
        </w:rPr>
        <w:t>20</w:t>
      </w:r>
      <w:r>
        <w:rPr>
          <w:rFonts w:ascii="黑体" w:hAnsi="宋体" w:eastAsia="黑体"/>
          <w:color w:val="000000"/>
          <w:kern w:val="0"/>
          <w:sz w:val="44"/>
          <w:szCs w:val="44"/>
          <w:lang w:bidi="ar"/>
        </w:rPr>
        <w:t>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本部门没有此项支出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本部门没有此项支出</w:t>
            </w:r>
          </w:p>
        </w:tc>
      </w:tr>
    </w:tbl>
    <w:p>
      <w:pPr>
        <w:pStyle w:val="2"/>
        <w:rPr>
          <w:rFonts w:ascii="黑体" w:hAnsi="宋体" w:eastAsia="黑体"/>
          <w:color w:val="000000"/>
          <w:kern w:val="0"/>
          <w:sz w:val="44"/>
          <w:szCs w:val="44"/>
          <w:lang w:bidi="ar"/>
        </w:rPr>
      </w:pPr>
    </w:p>
    <w:tbl>
      <w:tblPr>
        <w:tblStyle w:val="9"/>
        <w:tblW w:w="9390" w:type="dxa"/>
        <w:tblInd w:w="93" w:type="dxa"/>
        <w:tblLayout w:type="autofit"/>
        <w:tblCellMar>
          <w:top w:w="0" w:type="dxa"/>
          <w:left w:w="108" w:type="dxa"/>
          <w:bottom w:w="0" w:type="dxa"/>
          <w:right w:w="108" w:type="dxa"/>
        </w:tblCellMar>
      </w:tblPr>
      <w:tblGrid>
        <w:gridCol w:w="3736"/>
        <w:gridCol w:w="986"/>
        <w:gridCol w:w="3516"/>
        <w:gridCol w:w="1616"/>
      </w:tblGrid>
      <w:tr>
        <w:tblPrEx>
          <w:tblCellMar>
            <w:top w:w="0" w:type="dxa"/>
            <w:left w:w="108" w:type="dxa"/>
            <w:bottom w:w="0" w:type="dxa"/>
            <w:right w:w="108" w:type="dxa"/>
          </w:tblCellMar>
        </w:tblPrEx>
        <w:trPr>
          <w:trHeight w:val="540" w:hRule="atLeast"/>
        </w:trPr>
        <w:tc>
          <w:tcPr>
            <w:tcW w:w="9390" w:type="dxa"/>
            <w:gridSpan w:val="4"/>
            <w:tcBorders>
              <w:top w:val="nil"/>
              <w:left w:val="nil"/>
              <w:bottom w:val="nil"/>
              <w:right w:val="nil"/>
            </w:tcBorders>
            <w:shd w:val="clear" w:color="auto" w:fill="auto"/>
            <w:noWrap/>
            <w:vAlign w:val="bottom"/>
          </w:tcPr>
          <w:p>
            <w:pPr>
              <w:widowControl/>
              <w:textAlignment w:val="bottom"/>
              <w:rPr>
                <w:rFonts w:ascii="宋体" w:hAnsi="宋体" w:cs="宋体"/>
                <w:color w:val="000000"/>
                <w:kern w:val="0"/>
                <w:sz w:val="24"/>
                <w:lang w:bidi="ar"/>
              </w:rPr>
            </w:pPr>
            <w:r>
              <w:rPr>
                <w:rFonts w:hint="eastAsia" w:ascii="宋体" w:hAnsi="宋体" w:cs="宋体"/>
                <w:color w:val="000000"/>
                <w:kern w:val="0"/>
                <w:sz w:val="24"/>
                <w:lang w:bidi="ar"/>
              </w:rPr>
              <w:t xml:space="preserve">                        </w:t>
            </w: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textAlignment w:val="bottom"/>
              <w:rPr>
                <w:rFonts w:ascii="宋体" w:hAnsi="宋体" w:cs="宋体"/>
                <w:color w:val="000000"/>
                <w:kern w:val="0"/>
                <w:sz w:val="24"/>
                <w:lang w:bidi="ar"/>
              </w:rPr>
            </w:pPr>
          </w:p>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lang w:bidi="ar"/>
              </w:rPr>
              <w:t>收入支出决算总表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公示01表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收入</w:t>
            </w:r>
          </w:p>
        </w:tc>
        <w:tc>
          <w:tcPr>
            <w:tcW w:w="0" w:type="auto"/>
            <w:gridSpan w:val="2"/>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项目(按功能分类)</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1170.05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93.74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51.40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结余分配</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年末结转和结余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收入总计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支出总计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r>
      <w:tr>
        <w:tblPrEx>
          <w:tblCellMar>
            <w:top w:w="0" w:type="dxa"/>
            <w:left w:w="108" w:type="dxa"/>
            <w:bottom w:w="0" w:type="dxa"/>
            <w:right w:w="108" w:type="dxa"/>
          </w:tblCellMar>
        </w:tblPrEx>
        <w:trPr>
          <w:trHeight w:val="308" w:hRule="atLeast"/>
        </w:trPr>
        <w:tc>
          <w:tcPr>
            <w:tcW w:w="0" w:type="auto"/>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注：本表反映部门本年度的总收支和年末结转结余情况。本表金额转换为万元时，因四舍五入可能存在尾差。</w:t>
            </w:r>
          </w:p>
        </w:tc>
      </w:tr>
    </w:tbl>
    <w:tbl>
      <w:tblPr>
        <w:tblStyle w:val="9"/>
        <w:tblpPr w:leftFromText="180" w:rightFromText="180" w:vertAnchor="text" w:horzAnchor="page" w:tblpX="1187" w:tblpY="37"/>
        <w:tblOverlap w:val="never"/>
        <w:tblW w:w="0" w:type="auto"/>
        <w:tblInd w:w="0" w:type="dxa"/>
        <w:tblLayout w:type="autofit"/>
        <w:tblCellMar>
          <w:top w:w="0" w:type="dxa"/>
          <w:left w:w="108" w:type="dxa"/>
          <w:bottom w:w="0" w:type="dxa"/>
          <w:right w:w="108" w:type="dxa"/>
        </w:tblCellMar>
      </w:tblPr>
      <w:tblGrid>
        <w:gridCol w:w="302"/>
        <w:gridCol w:w="772"/>
        <w:gridCol w:w="2519"/>
        <w:gridCol w:w="1067"/>
        <w:gridCol w:w="966"/>
        <w:gridCol w:w="592"/>
        <w:gridCol w:w="592"/>
        <w:gridCol w:w="639"/>
        <w:gridCol w:w="592"/>
        <w:gridCol w:w="592"/>
        <w:gridCol w:w="1562"/>
      </w:tblGrid>
      <w:tr>
        <w:tblPrEx>
          <w:tblCellMar>
            <w:top w:w="0" w:type="dxa"/>
            <w:left w:w="108" w:type="dxa"/>
            <w:bottom w:w="0" w:type="dxa"/>
            <w:right w:w="108" w:type="dxa"/>
          </w:tblCellMar>
        </w:tblPrEx>
        <w:trPr>
          <w:trHeight w:val="570" w:hRule="atLeast"/>
        </w:trPr>
        <w:tc>
          <w:tcPr>
            <w:tcW w:w="1101" w:type="dxa"/>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rPr>
            </w:pPr>
          </w:p>
        </w:tc>
        <w:tc>
          <w:tcPr>
            <w:tcW w:w="9094"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lang w:bidi="ar"/>
              </w:rPr>
              <w:t>收入决算表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1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1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公示02表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1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1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ind w:right="800"/>
              <w:textAlignment w:val="bottom"/>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55" w:hRule="atLeast"/>
        </w:trPr>
        <w:tc>
          <w:tcPr>
            <w:tcW w:w="4813" w:type="dxa"/>
            <w:gridSpan w:val="4"/>
            <w:tcBorders>
              <w:top w:val="nil"/>
              <w:left w:val="nil"/>
              <w:bottom w:val="nil"/>
              <w:right w:val="nil"/>
            </w:tcBorders>
            <w:shd w:val="clear" w:color="auto" w:fill="auto"/>
            <w:noWrap/>
            <w:vAlign w:val="bottom"/>
          </w:tcPr>
          <w:p>
            <w:pPr>
              <w:widowControl/>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996" w:type="dxa"/>
            <w:tcBorders>
              <w:top w:val="nil"/>
              <w:left w:val="nil"/>
              <w:bottom w:val="nil"/>
              <w:right w:val="nil"/>
            </w:tcBorders>
            <w:shd w:val="clear" w:color="auto" w:fill="auto"/>
            <w:noWrap/>
            <w:vAlign w:val="bottom"/>
          </w:tcPr>
          <w:p>
            <w:pPr>
              <w:rPr>
                <w:rFonts w:ascii="Arial" w:hAnsi="Arial" w:cs="Arial"/>
                <w:color w:val="000000"/>
                <w:sz w:val="18"/>
                <w:szCs w:val="18"/>
              </w:rPr>
            </w:pPr>
            <w:r>
              <w:rPr>
                <w:rFonts w:hint="eastAsia" w:ascii="Arial" w:hAnsi="Arial" w:cs="Arial"/>
                <w:color w:val="000000"/>
                <w:sz w:val="18"/>
                <w:szCs w:val="18"/>
              </w:rPr>
              <w:t xml:space="preserve"> </w:t>
            </w:r>
          </w:p>
        </w:tc>
        <w:tc>
          <w:tcPr>
            <w:tcW w:w="568"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p>
        </w:tc>
        <w:tc>
          <w:tcPr>
            <w:tcW w:w="5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12" w:type="dxa"/>
            <w:tcBorders>
              <w:top w:val="nil"/>
              <w:left w:val="nil"/>
              <w:bottom w:val="nil"/>
              <w:right w:val="nil"/>
            </w:tcBorders>
            <w:shd w:val="clear" w:color="auto" w:fill="auto"/>
            <w:noWrap/>
            <w:vAlign w:val="bottom"/>
          </w:tcPr>
          <w:p>
            <w:pPr>
              <w:rPr>
                <w:rFonts w:ascii="Arial" w:hAnsi="Arial" w:cs="Arial"/>
                <w:color w:val="000000"/>
                <w:sz w:val="20"/>
                <w:szCs w:val="20"/>
              </w:rPr>
            </w:pPr>
            <w:r>
              <w:rPr>
                <w:rFonts w:ascii="宋体" w:hAnsi="宋体" w:cs="宋体"/>
                <w:color w:val="000000"/>
                <w:kern w:val="0"/>
                <w:sz w:val="18"/>
                <w:szCs w:val="18"/>
                <w:lang w:bidi="ar"/>
              </w:rPr>
              <w:t>2020</w:t>
            </w:r>
            <w:r>
              <w:rPr>
                <w:rFonts w:hint="eastAsia" w:ascii="宋体" w:hAnsi="宋体" w:cs="宋体"/>
                <w:color w:val="000000"/>
                <w:kern w:val="0"/>
                <w:sz w:val="18"/>
                <w:szCs w:val="18"/>
                <w:lang w:bidi="ar"/>
              </w:rPr>
              <w:t>年</w:t>
            </w:r>
          </w:p>
        </w:tc>
        <w:tc>
          <w:tcPr>
            <w:tcW w:w="5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371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11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本年收入合计</w:t>
            </w:r>
          </w:p>
        </w:tc>
        <w:tc>
          <w:tcPr>
            <w:tcW w:w="99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财政拨款收入</w:t>
            </w:r>
          </w:p>
        </w:tc>
        <w:tc>
          <w:tcPr>
            <w:tcW w:w="5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上级补助收入</w:t>
            </w:r>
          </w:p>
        </w:tc>
        <w:tc>
          <w:tcPr>
            <w:tcW w:w="120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事业收入</w:t>
            </w:r>
          </w:p>
        </w:tc>
        <w:tc>
          <w:tcPr>
            <w:tcW w:w="5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附属单位上缴收入</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其他收入</w:t>
            </w:r>
          </w:p>
        </w:tc>
      </w:tr>
      <w:tr>
        <w:tblPrEx>
          <w:tblCellMar>
            <w:top w:w="0" w:type="dxa"/>
            <w:left w:w="108" w:type="dxa"/>
            <w:bottom w:w="0" w:type="dxa"/>
            <w:right w:w="108" w:type="dxa"/>
          </w:tblCellMar>
        </w:tblPrEx>
        <w:trPr>
          <w:trHeight w:val="315" w:hRule="atLeast"/>
        </w:trPr>
        <w:tc>
          <w:tcPr>
            <w:tcW w:w="1101"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功能分类科目编码</w:t>
            </w:r>
          </w:p>
        </w:tc>
        <w:tc>
          <w:tcPr>
            <w:tcW w:w="2611"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0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101"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261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9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61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其中：教育收费</w:t>
            </w: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101"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261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9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9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1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712"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公共安全支出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0"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司法</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2040601</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行政运行</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513"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cs="Arial"/>
                <w:color w:val="000000"/>
                <w:sz w:val="22"/>
                <w:szCs w:val="22"/>
              </w:rPr>
              <w:t>2040606</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hint="eastAsia" w:cs="Arial"/>
                <w:color w:val="000000"/>
                <w:sz w:val="22"/>
                <w:szCs w:val="22"/>
              </w:rPr>
              <w:t>律师公证管理</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cs="Arial"/>
                <w:color w:val="000000"/>
                <w:sz w:val="22"/>
                <w:szCs w:val="22"/>
              </w:rPr>
              <w:t>56.82</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cs="Arial"/>
                <w:color w:val="000000"/>
                <w:sz w:val="22"/>
                <w:szCs w:val="22"/>
              </w:rPr>
              <w:t>56.82</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2040605</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普法宣传</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2040607</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法律援助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234.51</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2040699</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其他司法支出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社会保障和就业支出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567"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行政事业单位养老支出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624"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2080505</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机关事业单位基本养老保险缴费支出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2080506</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机关事业单位职业年金缴费支出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卫生健康支出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行政事业单位医疗</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2101101</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行政单位医疗</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住房保障支出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住房改革支出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2210201</w:t>
            </w:r>
          </w:p>
        </w:tc>
        <w:tc>
          <w:tcPr>
            <w:tcW w:w="261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住房公积金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9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9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1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5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注：本表反映部门本年度取得的各项收入情况。本表金额转换为万元时，因四舍五入可能存在尾差。</w:t>
            </w: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tc>
      </w:tr>
    </w:tbl>
    <w:tbl>
      <w:tblPr>
        <w:tblStyle w:val="9"/>
        <w:tblW w:w="5000" w:type="pct"/>
        <w:tblInd w:w="0" w:type="dxa"/>
        <w:tblLayout w:type="fixed"/>
        <w:tblCellMar>
          <w:top w:w="0" w:type="dxa"/>
          <w:left w:w="108" w:type="dxa"/>
          <w:bottom w:w="0" w:type="dxa"/>
          <w:right w:w="108" w:type="dxa"/>
        </w:tblCellMar>
      </w:tblPr>
      <w:tblGrid>
        <w:gridCol w:w="1518"/>
        <w:gridCol w:w="903"/>
        <w:gridCol w:w="247"/>
        <w:gridCol w:w="237"/>
        <w:gridCol w:w="467"/>
        <w:gridCol w:w="1278"/>
        <w:gridCol w:w="1270"/>
        <w:gridCol w:w="1276"/>
        <w:gridCol w:w="1009"/>
        <w:gridCol w:w="618"/>
        <w:gridCol w:w="1372"/>
      </w:tblGrid>
      <w:tr>
        <w:tblPrEx>
          <w:tblCellMar>
            <w:top w:w="0" w:type="dxa"/>
            <w:left w:w="108" w:type="dxa"/>
            <w:bottom w:w="0" w:type="dxa"/>
            <w:right w:w="108" w:type="dxa"/>
          </w:tblCellMar>
        </w:tblPrEx>
        <w:trPr>
          <w:trHeight w:val="540" w:hRule="atLeast"/>
        </w:trPr>
        <w:tc>
          <w:tcPr>
            <w:tcW w:w="1308" w:type="pct"/>
            <w:gridSpan w:val="3"/>
            <w:tcBorders>
              <w:top w:val="nil"/>
              <w:left w:val="nil"/>
              <w:bottom w:val="nil"/>
              <w:right w:val="nil"/>
            </w:tcBorders>
            <w:shd w:val="clear" w:color="auto" w:fill="auto"/>
            <w:noWrap/>
            <w:vAlign w:val="bottom"/>
          </w:tcPr>
          <w:p>
            <w:pPr>
              <w:widowControl/>
              <w:textAlignment w:val="bottom"/>
              <w:rPr>
                <w:rFonts w:ascii="宋体" w:hAnsi="宋体" w:cs="宋体"/>
                <w:color w:val="000000"/>
                <w:sz w:val="20"/>
                <w:szCs w:val="20"/>
              </w:rPr>
            </w:pPr>
          </w:p>
        </w:tc>
        <w:tc>
          <w:tcPr>
            <w:tcW w:w="3692" w:type="pct"/>
            <w:gridSpan w:val="8"/>
            <w:tcBorders>
              <w:top w:val="nil"/>
              <w:left w:val="nil"/>
              <w:bottom w:val="nil"/>
              <w:right w:val="nil"/>
            </w:tcBorders>
            <w:shd w:val="clear" w:color="auto" w:fill="auto"/>
            <w:noWrap/>
            <w:vAlign w:val="bottom"/>
          </w:tcPr>
          <w:p>
            <w:pPr>
              <w:widowControl/>
              <w:ind w:firstLine="1320" w:firstLineChars="300"/>
              <w:textAlignment w:val="bottom"/>
              <w:rPr>
                <w:rFonts w:ascii="宋体" w:hAnsi="宋体" w:cs="宋体"/>
                <w:color w:val="000000"/>
                <w:sz w:val="44"/>
                <w:szCs w:val="44"/>
              </w:rPr>
            </w:pPr>
            <w:r>
              <w:rPr>
                <w:rFonts w:hint="eastAsia" w:ascii="宋体" w:hAnsi="宋体" w:cs="宋体"/>
                <w:color w:val="000000"/>
                <w:kern w:val="0"/>
                <w:sz w:val="44"/>
                <w:szCs w:val="44"/>
                <w:lang w:bidi="ar"/>
              </w:rPr>
              <w:t>支出决算表</w:t>
            </w:r>
          </w:p>
        </w:tc>
      </w:tr>
      <w:tr>
        <w:tblPrEx>
          <w:tblCellMar>
            <w:top w:w="0" w:type="dxa"/>
            <w:left w:w="108" w:type="dxa"/>
            <w:bottom w:w="0" w:type="dxa"/>
            <w:right w:w="108" w:type="dxa"/>
          </w:tblCellMar>
        </w:tblPrEx>
        <w:trPr>
          <w:trHeight w:val="255" w:hRule="atLeast"/>
        </w:trPr>
        <w:tc>
          <w:tcPr>
            <w:tcW w:w="118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3"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公示03表</w:t>
            </w:r>
          </w:p>
        </w:tc>
      </w:tr>
      <w:tr>
        <w:tblPrEx>
          <w:tblCellMar>
            <w:top w:w="0" w:type="dxa"/>
            <w:left w:w="108" w:type="dxa"/>
            <w:bottom w:w="0" w:type="dxa"/>
            <w:right w:w="108" w:type="dxa"/>
          </w:tblCellMar>
        </w:tblPrEx>
        <w:trPr>
          <w:trHeight w:val="255" w:hRule="atLeast"/>
        </w:trPr>
        <w:tc>
          <w:tcPr>
            <w:tcW w:w="1187" w:type="pct"/>
            <w:gridSpan w:val="2"/>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12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7" w:type="pct"/>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2020年</w:t>
            </w:r>
          </w:p>
        </w:tc>
        <w:tc>
          <w:tcPr>
            <w:tcW w:w="623" w:type="pct"/>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p>
        </w:tc>
        <w:tc>
          <w:tcPr>
            <w:tcW w:w="6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3"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1653"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627"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62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626"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495"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上缴上级支出</w:t>
            </w:r>
          </w:p>
        </w:tc>
        <w:tc>
          <w:tcPr>
            <w:tcW w:w="30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经营支出</w:t>
            </w:r>
          </w:p>
        </w:tc>
        <w:tc>
          <w:tcPr>
            <w:tcW w:w="673" w:type="pct"/>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对附属单位补助支出</w:t>
            </w:r>
          </w:p>
        </w:tc>
      </w:tr>
      <w:tr>
        <w:tblPrEx>
          <w:tblCellMar>
            <w:top w:w="0" w:type="dxa"/>
            <w:left w:w="108" w:type="dxa"/>
            <w:bottom w:w="0" w:type="dxa"/>
            <w:right w:w="108" w:type="dxa"/>
          </w:tblCellMar>
        </w:tblPrEx>
        <w:trPr>
          <w:trHeight w:val="315" w:hRule="atLeast"/>
        </w:trPr>
        <w:tc>
          <w:tcPr>
            <w:tcW w:w="744"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Cs w:val="21"/>
                <w:lang w:bidi="ar"/>
              </w:rPr>
              <w:t>功能分类科目编码</w:t>
            </w:r>
          </w:p>
        </w:tc>
        <w:tc>
          <w:tcPr>
            <w:tcW w:w="909" w:type="pct"/>
            <w:gridSpan w:val="4"/>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73" w:type="pct"/>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744"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09" w:type="pct"/>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73" w:type="pct"/>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744"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09" w:type="pct"/>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673" w:type="pct"/>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653"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977.19</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472" w:hRule="exac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公共安全支出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734.1</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司法</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734.1</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2040601</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行政运行</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cs="Arial"/>
                <w:color w:val="000000"/>
                <w:sz w:val="22"/>
                <w:szCs w:val="22"/>
              </w:rPr>
              <w:t>2040606</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hint="eastAsia" w:cs="Arial"/>
                <w:color w:val="000000"/>
                <w:sz w:val="22"/>
                <w:szCs w:val="22"/>
              </w:rPr>
              <w:t>律师公证管理</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cs="Arial"/>
                <w:color w:val="000000"/>
                <w:sz w:val="22"/>
                <w:szCs w:val="22"/>
              </w:rPr>
              <w:t>56.82</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cs="Arial"/>
                <w:color w:val="000000"/>
                <w:sz w:val="22"/>
                <w:szCs w:val="22"/>
              </w:rPr>
              <w:t>56.82</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kern w:val="0"/>
                <w:sz w:val="22"/>
                <w:szCs w:val="22"/>
                <w:lang w:bidi="ar"/>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2040605</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普法宣传</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2040607</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法律援助</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2040699</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其他司法支出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435.95</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社会保障和就业支出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行政事业单位养老支出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97.94</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2080505</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机关事业单位基本养老保险缴费支出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2080506</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机关事业单位职业年金缴费支出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卫生健康支出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行政事业单位医疗</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2101101</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行政单位医疗</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住房保障支出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住房改革支出</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2210201</w:t>
            </w:r>
          </w:p>
        </w:tc>
        <w:tc>
          <w:tcPr>
            <w:tcW w:w="909" w:type="pct"/>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住房公积金</w:t>
            </w:r>
          </w:p>
        </w:tc>
        <w:tc>
          <w:tcPr>
            <w:tcW w:w="62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6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4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673" w:type="pct"/>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注：本表反映部门本年度各项支出情况。本表金额转换为万元时，因四舍五入可能存在尾差。</w:t>
            </w:r>
          </w:p>
        </w:tc>
      </w:tr>
    </w:tbl>
    <w:p>
      <w:pPr>
        <w:pStyle w:val="2"/>
        <w:rPr>
          <w:rFonts w:ascii="黑体" w:hAnsi="宋体" w:eastAsia="黑体"/>
          <w:color w:val="000000"/>
          <w:kern w:val="0"/>
          <w:sz w:val="44"/>
          <w:szCs w:val="44"/>
          <w:lang w:bidi="ar"/>
        </w:rPr>
      </w:pPr>
    </w:p>
    <w:p>
      <w:pPr>
        <w:pStyle w:val="2"/>
        <w:rPr>
          <w:rFonts w:ascii="黑体" w:hAnsi="宋体" w:eastAsia="黑体"/>
          <w:color w:val="000000"/>
          <w:kern w:val="0"/>
          <w:sz w:val="44"/>
          <w:szCs w:val="44"/>
          <w:lang w:bidi="ar"/>
        </w:rPr>
      </w:pPr>
    </w:p>
    <w:tbl>
      <w:tblPr>
        <w:tblStyle w:val="9"/>
        <w:tblW w:w="10102" w:type="dxa"/>
        <w:tblInd w:w="93" w:type="dxa"/>
        <w:tblLayout w:type="fixed"/>
        <w:tblCellMar>
          <w:top w:w="0" w:type="dxa"/>
          <w:left w:w="108" w:type="dxa"/>
          <w:bottom w:w="0" w:type="dxa"/>
          <w:right w:w="108" w:type="dxa"/>
        </w:tblCellMar>
      </w:tblPr>
      <w:tblGrid>
        <w:gridCol w:w="1716"/>
        <w:gridCol w:w="1276"/>
        <w:gridCol w:w="2410"/>
        <w:gridCol w:w="1417"/>
        <w:gridCol w:w="1276"/>
        <w:gridCol w:w="729"/>
        <w:gridCol w:w="1278"/>
      </w:tblGrid>
      <w:tr>
        <w:tblPrEx>
          <w:tblCellMar>
            <w:top w:w="0" w:type="dxa"/>
            <w:left w:w="108" w:type="dxa"/>
            <w:bottom w:w="0" w:type="dxa"/>
            <w:right w:w="108" w:type="dxa"/>
          </w:tblCellMar>
        </w:tblPrEx>
        <w:trPr>
          <w:trHeight w:val="540" w:hRule="atLeast"/>
        </w:trPr>
        <w:tc>
          <w:tcPr>
            <w:tcW w:w="10102"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lang w:bidi="ar"/>
              </w:rPr>
              <w:t>财政拨款收入支出决算总表</w:t>
            </w:r>
          </w:p>
        </w:tc>
      </w:tr>
      <w:tr>
        <w:tblPrEx>
          <w:tblCellMar>
            <w:top w:w="0" w:type="dxa"/>
            <w:left w:w="108" w:type="dxa"/>
            <w:bottom w:w="0" w:type="dxa"/>
            <w:right w:w="108" w:type="dxa"/>
          </w:tblCellMar>
        </w:tblPrEx>
        <w:trPr>
          <w:trHeight w:val="255" w:hRule="atLeast"/>
        </w:trPr>
        <w:tc>
          <w:tcPr>
            <w:tcW w:w="17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公示04表</w:t>
            </w:r>
          </w:p>
        </w:tc>
      </w:tr>
      <w:tr>
        <w:tblPrEx>
          <w:tblCellMar>
            <w:top w:w="0" w:type="dxa"/>
            <w:left w:w="108" w:type="dxa"/>
            <w:bottom w:w="0" w:type="dxa"/>
            <w:right w:w="108" w:type="dxa"/>
          </w:tblCellMar>
        </w:tblPrEx>
        <w:trPr>
          <w:trHeight w:val="255" w:hRule="atLeast"/>
        </w:trPr>
        <w:tc>
          <w:tcPr>
            <w:tcW w:w="1716"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编制部门：绥德县司法局局（汇总）</w:t>
            </w:r>
          </w:p>
        </w:tc>
        <w:tc>
          <w:tcPr>
            <w:tcW w:w="12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141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7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2992"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     入</w:t>
            </w:r>
          </w:p>
        </w:tc>
        <w:tc>
          <w:tcPr>
            <w:tcW w:w="7110"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     出</w:t>
            </w:r>
          </w:p>
        </w:tc>
      </w:tr>
      <w:tr>
        <w:tblPrEx>
          <w:tblCellMar>
            <w:top w:w="0" w:type="dxa"/>
            <w:left w:w="108" w:type="dxa"/>
            <w:bottom w:w="0" w:type="dxa"/>
            <w:right w:w="108" w:type="dxa"/>
          </w:tblCellMar>
        </w:tblPrEx>
        <w:trPr>
          <w:trHeight w:val="292" w:hRule="atLeast"/>
        </w:trPr>
        <w:tc>
          <w:tcPr>
            <w:tcW w:w="17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    目</w:t>
            </w:r>
          </w:p>
        </w:tc>
        <w:tc>
          <w:tcPr>
            <w:tcW w:w="127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c>
          <w:tcPr>
            <w:tcW w:w="24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项目（按功能分类）</w:t>
            </w:r>
          </w:p>
        </w:tc>
        <w:tc>
          <w:tcPr>
            <w:tcW w:w="4700" w:type="dxa"/>
            <w:gridSpan w:val="4"/>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r>
      <w:tr>
        <w:tblPrEx>
          <w:tblCellMar>
            <w:top w:w="0" w:type="dxa"/>
            <w:left w:w="108" w:type="dxa"/>
            <w:bottom w:w="0" w:type="dxa"/>
            <w:right w:w="108" w:type="dxa"/>
          </w:tblCellMar>
        </w:tblPrEx>
        <w:trPr>
          <w:trHeight w:val="283" w:hRule="atLeast"/>
        </w:trPr>
        <w:tc>
          <w:tcPr>
            <w:tcW w:w="17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7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4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1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27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w:t>
            </w:r>
          </w:p>
        </w:tc>
        <w:tc>
          <w:tcPr>
            <w:tcW w:w="72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政府性基金预算财政拨款</w:t>
            </w:r>
          </w:p>
        </w:tc>
        <w:tc>
          <w:tcPr>
            <w:tcW w:w="1278" w:type="dxa"/>
            <w:tcBorders>
              <w:top w:val="nil"/>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国有资本经营预算财政拨款</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二、外交支出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三、国有资本经营预算财政拨款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三、国防支出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1,170.05</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五、教育支出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97.96</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十六、金融支出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收入总计</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cs="Arial"/>
                <w:color w:val="000000"/>
                <w:sz w:val="22"/>
                <w:szCs w:val="22"/>
              </w:rPr>
              <w:t>1,413.14</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支出总计</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年初财政拨款结转和结余</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410"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年末财政拨款结转和结余</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2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410"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8" w:type="dxa"/>
            <w:tcBorders>
              <w:top w:val="nil"/>
              <w:left w:val="nil"/>
              <w:bottom w:val="single" w:color="000000" w:sz="4" w:space="0"/>
              <w:right w:val="single" w:color="000000" w:sz="8"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410"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8" w:type="dxa"/>
            <w:tcBorders>
              <w:top w:val="nil"/>
              <w:left w:val="nil"/>
              <w:bottom w:val="single" w:color="000000" w:sz="4" w:space="0"/>
              <w:right w:val="single" w:color="000000" w:sz="8"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三、国有资本经营预算财政拨款</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2410"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78" w:type="dxa"/>
            <w:tcBorders>
              <w:top w:val="nil"/>
              <w:left w:val="nil"/>
              <w:bottom w:val="single" w:color="000000" w:sz="4" w:space="0"/>
              <w:right w:val="single" w:color="000000" w:sz="8" w:space="0"/>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716"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总计</w:t>
            </w:r>
          </w:p>
        </w:tc>
        <w:tc>
          <w:tcPr>
            <w:tcW w:w="1276"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2410" w:type="dxa"/>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总计</w:t>
            </w:r>
          </w:p>
        </w:tc>
        <w:tc>
          <w:tcPr>
            <w:tcW w:w="1417"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1276"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1,413.14</w:t>
            </w:r>
          </w:p>
        </w:tc>
        <w:tc>
          <w:tcPr>
            <w:tcW w:w="729"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278"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08" w:hRule="atLeast"/>
        </w:trPr>
        <w:tc>
          <w:tcPr>
            <w:tcW w:w="10102" w:type="dxa"/>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注：本表反映部门本年度一般公共预算和政府性基金预算财政拨款的总收支和年末结转结余情况。本表金额转换为万元时，因四舍五入可能存在尾差。</w:t>
            </w:r>
          </w:p>
        </w:tc>
      </w:tr>
    </w:tbl>
    <w:p>
      <w:pPr>
        <w:pStyle w:val="2"/>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tbl>
      <w:tblPr>
        <w:tblStyle w:val="9"/>
        <w:tblW w:w="10102" w:type="dxa"/>
        <w:tblInd w:w="93" w:type="dxa"/>
        <w:tblLayout w:type="fixed"/>
        <w:tblCellMar>
          <w:top w:w="0" w:type="dxa"/>
          <w:left w:w="108" w:type="dxa"/>
          <w:bottom w:w="0" w:type="dxa"/>
          <w:right w:w="108" w:type="dxa"/>
        </w:tblCellMar>
      </w:tblPr>
      <w:tblGrid>
        <w:gridCol w:w="253"/>
        <w:gridCol w:w="255"/>
        <w:gridCol w:w="518"/>
        <w:gridCol w:w="2836"/>
        <w:gridCol w:w="1101"/>
        <w:gridCol w:w="1035"/>
        <w:gridCol w:w="1020"/>
        <w:gridCol w:w="1035"/>
        <w:gridCol w:w="1743"/>
        <w:gridCol w:w="306"/>
      </w:tblGrid>
      <w:tr>
        <w:tblPrEx>
          <w:tblCellMar>
            <w:top w:w="0" w:type="dxa"/>
            <w:left w:w="108" w:type="dxa"/>
            <w:bottom w:w="0" w:type="dxa"/>
            <w:right w:w="108" w:type="dxa"/>
          </w:tblCellMar>
        </w:tblPrEx>
        <w:trPr>
          <w:trHeight w:val="450" w:hRule="atLeast"/>
        </w:trPr>
        <w:tc>
          <w:tcPr>
            <w:tcW w:w="10102"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6"/>
                <w:szCs w:val="36"/>
              </w:rPr>
            </w:pPr>
            <w:r>
              <w:rPr>
                <w:rFonts w:hint="eastAsia" w:ascii="宋体" w:hAnsi="宋体" w:cs="宋体"/>
                <w:color w:val="000000"/>
                <w:kern w:val="0"/>
                <w:sz w:val="40"/>
                <w:szCs w:val="40"/>
                <w:lang w:bidi="ar"/>
              </w:rPr>
              <w:t>一般公共预算财政拨款支出决算表（按功能分类科目）</w:t>
            </w:r>
          </w:p>
        </w:tc>
      </w:tr>
      <w:tr>
        <w:tblPrEx>
          <w:tblCellMar>
            <w:top w:w="0" w:type="dxa"/>
            <w:left w:w="108" w:type="dxa"/>
            <w:bottom w:w="0" w:type="dxa"/>
            <w:right w:w="108" w:type="dxa"/>
          </w:tblCellMar>
        </w:tblPrEx>
        <w:trPr>
          <w:trHeight w:val="300" w:hRule="atLeast"/>
        </w:trPr>
        <w:tc>
          <w:tcPr>
            <w:tcW w:w="2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 w:type="dxa"/>
            <w:tcBorders>
              <w:top w:val="nil"/>
              <w:left w:val="nil"/>
              <w:bottom w:val="nil"/>
              <w:right w:val="nil"/>
            </w:tcBorders>
            <w:shd w:val="clear" w:color="auto" w:fill="auto"/>
            <w:noWrap/>
            <w:vAlign w:val="bottom"/>
          </w:tcPr>
          <w:p>
            <w:pPr>
              <w:widowControl/>
              <w:textAlignment w:val="bottom"/>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4963" w:type="dxa"/>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10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10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43" w:type="dxa"/>
            <w:tcBorders>
              <w:top w:val="nil"/>
              <w:left w:val="nil"/>
              <w:bottom w:val="nil"/>
              <w:right w:val="nil"/>
            </w:tcBorders>
            <w:shd w:val="clear" w:color="auto" w:fill="auto"/>
            <w:noWrap/>
            <w:vAlign w:val="bottom"/>
          </w:tcPr>
          <w:tbl>
            <w:tblPr>
              <w:tblStyle w:val="9"/>
              <w:tblpPr w:leftFromText="180" w:rightFromText="180" w:vertAnchor="text" w:horzAnchor="page" w:tblpX="7019" w:tblpY="730"/>
              <w:tblOverlap w:val="never"/>
              <w:tblW w:w="2080" w:type="dxa"/>
              <w:tblInd w:w="0" w:type="dxa"/>
              <w:tblLayout w:type="fixed"/>
              <w:tblCellMar>
                <w:top w:w="0" w:type="dxa"/>
                <w:left w:w="108" w:type="dxa"/>
                <w:bottom w:w="0" w:type="dxa"/>
                <w:right w:w="108" w:type="dxa"/>
              </w:tblCellMar>
            </w:tblPr>
            <w:tblGrid>
              <w:gridCol w:w="2080"/>
            </w:tblGrid>
            <w:tr>
              <w:tblPrEx>
                <w:tblCellMar>
                  <w:top w:w="0" w:type="dxa"/>
                  <w:left w:w="108" w:type="dxa"/>
                  <w:bottom w:w="0" w:type="dxa"/>
                  <w:right w:w="108" w:type="dxa"/>
                </w:tblCellMar>
              </w:tblPrEx>
              <w:trPr>
                <w:trHeight w:val="188" w:hRule="atLeast"/>
              </w:trPr>
              <w:tc>
                <w:tcPr>
                  <w:tcW w:w="2080"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公示05表</w:t>
                  </w:r>
                </w:p>
              </w:tc>
            </w:tr>
            <w:tr>
              <w:tblPrEx>
                <w:tblCellMar>
                  <w:top w:w="0" w:type="dxa"/>
                  <w:left w:w="108" w:type="dxa"/>
                  <w:bottom w:w="0" w:type="dxa"/>
                  <w:right w:w="108" w:type="dxa"/>
                </w:tblCellMar>
              </w:tblPrEx>
              <w:trPr>
                <w:trHeight w:val="188" w:hRule="atLeast"/>
              </w:trPr>
              <w:tc>
                <w:tcPr>
                  <w:tcW w:w="2080"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bl>
          <w:p>
            <w:pPr>
              <w:rPr>
                <w:rFonts w:ascii="Arial" w:hAnsi="Arial" w:cs="Arial"/>
                <w:color w:val="000000"/>
                <w:sz w:val="20"/>
                <w:szCs w:val="20"/>
              </w:rPr>
            </w:pPr>
          </w:p>
        </w:tc>
        <w:tc>
          <w:tcPr>
            <w:tcW w:w="306"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p>
        </w:tc>
      </w:tr>
      <w:tr>
        <w:tblPrEx>
          <w:tblCellMar>
            <w:top w:w="0" w:type="dxa"/>
            <w:left w:w="108" w:type="dxa"/>
            <w:bottom w:w="0" w:type="dxa"/>
            <w:right w:w="108" w:type="dxa"/>
          </w:tblCellMar>
        </w:tblPrEx>
        <w:trPr>
          <w:trHeight w:val="308" w:hRule="atLeast"/>
        </w:trPr>
        <w:tc>
          <w:tcPr>
            <w:tcW w:w="386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11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309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74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306"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315" w:hRule="atLeast"/>
        </w:trPr>
        <w:tc>
          <w:tcPr>
            <w:tcW w:w="102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283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0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人员经费</w:t>
            </w:r>
          </w:p>
        </w:tc>
        <w:tc>
          <w:tcPr>
            <w:tcW w:w="10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公用经费</w:t>
            </w:r>
          </w:p>
        </w:tc>
        <w:tc>
          <w:tcPr>
            <w:tcW w:w="17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102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83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102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83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0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06"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862"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1,413.14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977.19</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766.73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210.46</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435.95</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公共安全支出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1,170.05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734.10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523.65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210.46</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435.95</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司法</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1,170.05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734.10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523.65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210.46</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435.95</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2040601</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行政运行</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582.48</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479.55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102.93</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hint="eastAsia" w:cs="Arial"/>
                <w:color w:val="000000"/>
                <w:sz w:val="22"/>
                <w:szCs w:val="22"/>
              </w:rPr>
              <w:t>2040606</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cs="Arial"/>
                <w:color w:val="000000"/>
                <w:sz w:val="22"/>
                <w:szCs w:val="22"/>
              </w:rPr>
            </w:pPr>
            <w:r>
              <w:rPr>
                <w:rFonts w:hint="eastAsia" w:cs="Arial"/>
                <w:color w:val="000000"/>
                <w:sz w:val="22"/>
                <w:szCs w:val="22"/>
              </w:rPr>
              <w:t xml:space="preserve">  律师公证管理</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56.82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56.82</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44.10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12.73</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cs="Arial"/>
                <w:color w:val="000000"/>
                <w:sz w:val="22"/>
                <w:szCs w:val="22"/>
              </w:rPr>
            </w:pPr>
            <w:r>
              <w:rPr>
                <w:rFonts w:hint="eastAsia" w:cs="Arial"/>
                <w:color w:val="000000"/>
                <w:sz w:val="22"/>
                <w:szCs w:val="22"/>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2040605</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普法宣传</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77.15</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2040607</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法律援助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17.65</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2040699</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其他司法支出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435.95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435.95</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社会保障和就业支出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行政事业单位养老支出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2080505</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机关事业单位基本养老保险缴费支出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66.93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2080506</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机关事业单位职业年金缴费支出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卫生健康支出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行政事业单位医疗</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2101101</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行政单位医疗</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住房保障支出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住房改革支出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2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2210201</w:t>
            </w:r>
          </w:p>
        </w:tc>
        <w:tc>
          <w:tcPr>
            <w:tcW w:w="28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住房公积金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7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0.00</w:t>
            </w:r>
          </w:p>
        </w:tc>
        <w:tc>
          <w:tcPr>
            <w:tcW w:w="306" w:type="dxa"/>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0102" w:type="dxa"/>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注：本表反映部门本年度一般公共预算财政拨款实际支出情况。本表金额转换为万元时，因四舍五入可能存在尾差。</w:t>
            </w:r>
          </w:p>
        </w:tc>
      </w:tr>
    </w:tbl>
    <w:p>
      <w:pPr>
        <w:rPr>
          <w:rFonts w:ascii="黑体" w:hAnsi="宋体" w:eastAsia="黑体"/>
          <w:color w:val="000000"/>
          <w:kern w:val="0"/>
          <w:sz w:val="44"/>
          <w:szCs w:val="44"/>
          <w:lang w:bidi="ar"/>
        </w:rPr>
      </w:pPr>
    </w:p>
    <w:tbl>
      <w:tblPr>
        <w:tblStyle w:val="9"/>
        <w:tblW w:w="10102" w:type="dxa"/>
        <w:tblInd w:w="93" w:type="dxa"/>
        <w:tblLayout w:type="autofit"/>
        <w:tblCellMar>
          <w:top w:w="0" w:type="dxa"/>
          <w:left w:w="108" w:type="dxa"/>
          <w:bottom w:w="0" w:type="dxa"/>
          <w:right w:w="108" w:type="dxa"/>
        </w:tblCellMar>
      </w:tblPr>
      <w:tblGrid>
        <w:gridCol w:w="317"/>
        <w:gridCol w:w="317"/>
        <w:gridCol w:w="317"/>
        <w:gridCol w:w="4708"/>
        <w:gridCol w:w="1239"/>
        <w:gridCol w:w="1243"/>
        <w:gridCol w:w="1249"/>
        <w:gridCol w:w="712"/>
      </w:tblGrid>
      <w:tr>
        <w:tblPrEx>
          <w:tblCellMar>
            <w:top w:w="0" w:type="dxa"/>
            <w:left w:w="108" w:type="dxa"/>
            <w:bottom w:w="0" w:type="dxa"/>
            <w:right w:w="108" w:type="dxa"/>
          </w:tblCellMar>
        </w:tblPrEx>
        <w:trPr>
          <w:trHeight w:val="375" w:hRule="atLeast"/>
        </w:trPr>
        <w:tc>
          <w:tcPr>
            <w:tcW w:w="10102" w:type="dxa"/>
            <w:gridSpan w:val="8"/>
            <w:tcBorders>
              <w:top w:val="nil"/>
              <w:left w:val="nil"/>
              <w:bottom w:val="nil"/>
              <w:right w:val="nil"/>
            </w:tcBorders>
            <w:shd w:val="clear" w:color="auto" w:fill="auto"/>
            <w:noWrap/>
            <w:vAlign w:val="bottom"/>
          </w:tcPr>
          <w:p>
            <w:pPr>
              <w:widowControl/>
              <w:textAlignment w:val="bottom"/>
              <w:rPr>
                <w:rFonts w:ascii="宋体" w:hAnsi="宋体" w:cs="宋体"/>
                <w:color w:val="000000"/>
                <w:kern w:val="0"/>
                <w:sz w:val="28"/>
                <w:szCs w:val="28"/>
                <w:lang w:bidi="ar"/>
              </w:rPr>
            </w:pPr>
          </w:p>
          <w:p>
            <w:pPr>
              <w:widowControl/>
              <w:jc w:val="center"/>
              <w:textAlignment w:val="bottom"/>
              <w:rPr>
                <w:rFonts w:ascii="宋体" w:hAnsi="宋体" w:cs="宋体"/>
                <w:color w:val="000000"/>
                <w:sz w:val="28"/>
                <w:szCs w:val="28"/>
              </w:rPr>
            </w:pPr>
            <w:r>
              <w:rPr>
                <w:rFonts w:hint="eastAsia" w:ascii="宋体" w:hAnsi="宋体" w:cs="宋体"/>
                <w:color w:val="000000"/>
                <w:kern w:val="0"/>
                <w:sz w:val="36"/>
                <w:szCs w:val="36"/>
                <w:lang w:bidi="ar"/>
              </w:rPr>
              <w:t>一般公共预算财政拨款基本支出决算表（按经济分类科目）</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公示06表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0" w:type="auto"/>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564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123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124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人员经费</w:t>
            </w:r>
          </w:p>
        </w:tc>
        <w:tc>
          <w:tcPr>
            <w:tcW w:w="125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公用经费</w:t>
            </w:r>
          </w:p>
        </w:tc>
        <w:tc>
          <w:tcPr>
            <w:tcW w:w="721"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315" w:hRule="atLeast"/>
        </w:trPr>
        <w:tc>
          <w:tcPr>
            <w:tcW w:w="9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经济分类科目编码</w:t>
            </w:r>
          </w:p>
        </w:tc>
        <w:tc>
          <w:tcPr>
            <w:tcW w:w="469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2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21"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5" w:hRule="atLeast"/>
        </w:trPr>
        <w:tc>
          <w:tcPr>
            <w:tcW w:w="94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9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21"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94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69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21"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5647"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977.19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bookmarkStart w:id="0" w:name="_Hlk86439462"/>
            <w:r>
              <w:rPr>
                <w:rFonts w:ascii="宋体" w:hAnsi="宋体" w:cs="宋体"/>
                <w:color w:val="000000"/>
                <w:kern w:val="0"/>
                <w:sz w:val="22"/>
                <w:szCs w:val="22"/>
                <w:lang w:bidi="ar"/>
              </w:rPr>
              <w:t>766.73</w:t>
            </w:r>
            <w:bookmarkEnd w:id="0"/>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210.46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766.73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275.6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175.99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35.55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36.5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66.93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31.01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93.74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cs="Arial"/>
                <w:color w:val="000000"/>
                <w:sz w:val="22"/>
                <w:szCs w:val="22"/>
              </w:rPr>
              <w:t>51.40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210.46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80.65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59.04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3.69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4.90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5.9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2.25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22.17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4.92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0.18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0.27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30224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1.34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1.13</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30231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cs="Arial"/>
                <w:color w:val="000000"/>
                <w:sz w:val="22"/>
                <w:szCs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2.78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3.08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18.15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注：本表反映部门本年度一般公共预算财政拨款基本支出明细情况。本表金额转换为万元时，因四舍五入可能存在尾差。</w:t>
            </w:r>
          </w:p>
        </w:tc>
      </w:tr>
    </w:tbl>
    <w:p>
      <w:pPr>
        <w:rPr>
          <w:rFonts w:ascii="黑体" w:hAnsi="宋体" w:eastAsia="黑体"/>
          <w:color w:val="000000"/>
          <w:kern w:val="0"/>
          <w:sz w:val="44"/>
          <w:szCs w:val="44"/>
          <w:lang w:bidi="ar"/>
        </w:rPr>
      </w:pPr>
    </w:p>
    <w:tbl>
      <w:tblPr>
        <w:tblStyle w:val="9"/>
        <w:tblpPr w:leftFromText="180" w:rightFromText="180" w:vertAnchor="text" w:horzAnchor="page" w:tblpX="1652" w:tblpY="1279"/>
        <w:tblOverlap w:val="never"/>
        <w:tblW w:w="8820" w:type="dxa"/>
        <w:tblInd w:w="0" w:type="dxa"/>
        <w:tblLayout w:type="autofit"/>
        <w:tblCellMar>
          <w:top w:w="0" w:type="dxa"/>
          <w:left w:w="108" w:type="dxa"/>
          <w:bottom w:w="0" w:type="dxa"/>
          <w:right w:w="108" w:type="dxa"/>
        </w:tblCellMar>
      </w:tblPr>
      <w:tblGrid>
        <w:gridCol w:w="1036"/>
        <w:gridCol w:w="831"/>
        <w:gridCol w:w="1219"/>
        <w:gridCol w:w="984"/>
        <w:gridCol w:w="1173"/>
        <w:gridCol w:w="869"/>
        <w:gridCol w:w="869"/>
        <w:gridCol w:w="920"/>
        <w:gridCol w:w="919"/>
      </w:tblGrid>
      <w:tr>
        <w:tblPrEx>
          <w:tblCellMar>
            <w:top w:w="0" w:type="dxa"/>
            <w:left w:w="108" w:type="dxa"/>
            <w:bottom w:w="0" w:type="dxa"/>
            <w:right w:w="108" w:type="dxa"/>
          </w:tblCellMar>
        </w:tblPrEx>
        <w:trPr>
          <w:trHeight w:val="405" w:hRule="atLeast"/>
        </w:trPr>
        <w:tc>
          <w:tcPr>
            <w:tcW w:w="8820" w:type="dxa"/>
            <w:gridSpan w:val="9"/>
            <w:tcBorders>
              <w:top w:val="nil"/>
              <w:left w:val="nil"/>
              <w:bottom w:val="nil"/>
              <w:right w:val="nil"/>
            </w:tcBorders>
            <w:shd w:val="clear" w:color="auto" w:fill="auto"/>
            <w:noWrap/>
            <w:vAlign w:val="bottom"/>
          </w:tcPr>
          <w:p>
            <w:pPr>
              <w:widowControl/>
              <w:textAlignment w:val="bottom"/>
              <w:rPr>
                <w:rFonts w:ascii="宋体" w:hAnsi="宋体" w:cs="宋体"/>
                <w:color w:val="000000"/>
                <w:kern w:val="0"/>
                <w:sz w:val="32"/>
                <w:szCs w:val="32"/>
                <w:lang w:bidi="ar"/>
              </w:rPr>
            </w:pPr>
          </w:p>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一般公共预算财政拨款“三公”经费及会议费、培训费       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公示07表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5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884"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一般公共预算财政拨款安排的“三公”经费</w:t>
            </w:r>
          </w:p>
        </w:tc>
        <w:tc>
          <w:tcPr>
            <w:tcW w:w="94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会议费</w:t>
            </w:r>
          </w:p>
        </w:tc>
        <w:tc>
          <w:tcPr>
            <w:tcW w:w="949"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培训费</w:t>
            </w:r>
          </w:p>
        </w:tc>
      </w:tr>
      <w:tr>
        <w:tblPrEx>
          <w:tblCellMar>
            <w:top w:w="0" w:type="dxa"/>
            <w:left w:w="108" w:type="dxa"/>
            <w:bottom w:w="0" w:type="dxa"/>
            <w:right w:w="108" w:type="dxa"/>
          </w:tblCellMar>
        </w:tblPrEx>
        <w:trPr>
          <w:trHeight w:val="4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798"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18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因公出国（境）费用</w:t>
            </w:r>
          </w:p>
        </w:tc>
        <w:tc>
          <w:tcPr>
            <w:tcW w:w="105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公务接待费</w:t>
            </w:r>
          </w:p>
        </w:tc>
        <w:tc>
          <w:tcPr>
            <w:tcW w:w="2844"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公务用车购置及运行维护费</w:t>
            </w:r>
          </w:p>
        </w:tc>
        <w:tc>
          <w:tcPr>
            <w:tcW w:w="9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9"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79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5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86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公务用车购置费</w:t>
            </w:r>
          </w:p>
        </w:tc>
        <w:tc>
          <w:tcPr>
            <w:tcW w:w="86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公务用车运行维护费</w:t>
            </w:r>
          </w:p>
        </w:tc>
        <w:tc>
          <w:tcPr>
            <w:tcW w:w="9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9" w:type="dxa"/>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79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8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5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6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6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4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49" w:type="dxa"/>
            <w:tcBorders>
              <w:top w:val="nil"/>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6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预算数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3.06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2.78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2.78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4"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69" w:hRule="atLeast"/>
        </w:trPr>
        <w:tc>
          <w:tcPr>
            <w:tcW w:w="0" w:type="auto"/>
            <w:tcBorders>
              <w:top w:val="nil"/>
              <w:left w:val="single" w:color="000000" w:sz="4" w:space="0"/>
              <w:bottom w:val="single" w:color="000000" w:sz="8"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3.05</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0.27</w:t>
            </w: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2.78</w:t>
            </w: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0.00</w:t>
            </w:r>
          </w:p>
        </w:tc>
        <w:tc>
          <w:tcPr>
            <w:tcW w:w="0" w:type="auto"/>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r>
              <w:rPr>
                <w:rFonts w:hint="eastAsia" w:cs="Arial"/>
                <w:color w:val="000000"/>
                <w:sz w:val="22"/>
                <w:szCs w:val="22"/>
              </w:rPr>
              <w:t>2.78</w:t>
            </w:r>
          </w:p>
        </w:tc>
        <w:tc>
          <w:tcPr>
            <w:tcW w:w="0" w:type="auto"/>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0.18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554" w:hRule="atLeast"/>
        </w:trPr>
        <w:tc>
          <w:tcPr>
            <w:tcW w:w="8820" w:type="dxa"/>
            <w:gridSpan w:val="9"/>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注：本表反映部门本年度一般公共预算财政拨款“三公”经费、会议费、培训费的预算数和实际支出。预算数为调整预算数。本表金额转换为万元时，因四舍五入可能存在尾差。</w:t>
            </w:r>
          </w:p>
        </w:tc>
      </w:tr>
    </w:tbl>
    <w:p>
      <w:pPr>
        <w:pStyle w:val="2"/>
      </w:pPr>
    </w:p>
    <w:tbl>
      <w:tblPr>
        <w:tblStyle w:val="9"/>
        <w:tblW w:w="4822" w:type="pct"/>
        <w:tblInd w:w="361" w:type="dxa"/>
        <w:tblLayout w:type="fixed"/>
        <w:tblCellMar>
          <w:top w:w="0" w:type="dxa"/>
          <w:left w:w="108" w:type="dxa"/>
          <w:bottom w:w="0" w:type="dxa"/>
          <w:right w:w="108" w:type="dxa"/>
        </w:tblCellMar>
      </w:tblPr>
      <w:tblGrid>
        <w:gridCol w:w="284"/>
        <w:gridCol w:w="470"/>
        <w:gridCol w:w="187"/>
        <w:gridCol w:w="120"/>
        <w:gridCol w:w="163"/>
        <w:gridCol w:w="710"/>
        <w:gridCol w:w="946"/>
        <w:gridCol w:w="181"/>
        <w:gridCol w:w="151"/>
        <w:gridCol w:w="730"/>
        <w:gridCol w:w="151"/>
        <w:gridCol w:w="932"/>
        <w:gridCol w:w="151"/>
        <w:gridCol w:w="600"/>
        <w:gridCol w:w="116"/>
        <w:gridCol w:w="151"/>
        <w:gridCol w:w="716"/>
        <w:gridCol w:w="151"/>
        <w:gridCol w:w="336"/>
        <w:gridCol w:w="381"/>
        <w:gridCol w:w="1036"/>
        <w:gridCol w:w="69"/>
        <w:gridCol w:w="134"/>
        <w:gridCol w:w="966"/>
      </w:tblGrid>
      <w:tr>
        <w:tblPrEx>
          <w:tblCellMar>
            <w:top w:w="0" w:type="dxa"/>
            <w:left w:w="108" w:type="dxa"/>
            <w:bottom w:w="0" w:type="dxa"/>
            <w:right w:w="108" w:type="dxa"/>
          </w:tblCellMar>
        </w:tblPrEx>
        <w:trPr>
          <w:gridAfter w:val="2"/>
          <w:wAfter w:w="558" w:type="pct"/>
          <w:trHeight w:val="1329" w:hRule="atLeast"/>
        </w:trPr>
        <w:tc>
          <w:tcPr>
            <w:tcW w:w="4441" w:type="pct"/>
            <w:gridSpan w:val="2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6"/>
                <w:szCs w:val="36"/>
              </w:rPr>
            </w:pPr>
            <w:r>
              <w:rPr>
                <w:rFonts w:hint="eastAsia" w:ascii="宋体" w:hAnsi="宋体" w:cs="宋体"/>
                <w:color w:val="000000"/>
                <w:kern w:val="0"/>
                <w:sz w:val="36"/>
                <w:szCs w:val="36"/>
                <w:lang w:bidi="ar"/>
              </w:rPr>
              <w:t>政府性基金预算财政拨款收入支出决算表</w:t>
            </w:r>
          </w:p>
        </w:tc>
      </w:tr>
      <w:tr>
        <w:tblPrEx>
          <w:tblCellMar>
            <w:top w:w="0" w:type="dxa"/>
            <w:left w:w="108" w:type="dxa"/>
            <w:bottom w:w="0" w:type="dxa"/>
            <w:right w:w="108" w:type="dxa"/>
          </w:tblCellMar>
        </w:tblPrEx>
        <w:trPr>
          <w:gridAfter w:val="1"/>
          <w:wAfter w:w="486" w:type="pct"/>
          <w:trHeight w:val="255" w:hRule="atLeast"/>
        </w:trPr>
        <w:tc>
          <w:tcPr>
            <w:tcW w:w="14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11"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8"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5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1"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95"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公示08表</w:t>
            </w:r>
          </w:p>
        </w:tc>
      </w:tr>
      <w:tr>
        <w:tblPrEx>
          <w:tblCellMar>
            <w:top w:w="0" w:type="dxa"/>
            <w:left w:w="108" w:type="dxa"/>
            <w:bottom w:w="0" w:type="dxa"/>
            <w:right w:w="108" w:type="dxa"/>
          </w:tblCellMar>
        </w:tblPrEx>
        <w:trPr>
          <w:gridAfter w:val="2"/>
          <w:wAfter w:w="558" w:type="pct"/>
          <w:trHeight w:val="255" w:hRule="atLeast"/>
        </w:trPr>
        <w:tc>
          <w:tcPr>
            <w:tcW w:w="1556" w:type="pct"/>
            <w:gridSpan w:val="8"/>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编制部门：绥德县司法局（汇总）</w:t>
            </w:r>
          </w:p>
        </w:tc>
        <w:tc>
          <w:tcPr>
            <w:tcW w:w="448"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51"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2020年</w:t>
            </w:r>
          </w:p>
        </w:tc>
        <w:tc>
          <w:tcPr>
            <w:tcW w:w="441"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02"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gridAfter w:val="2"/>
          <w:wAfter w:w="558" w:type="pct"/>
          <w:trHeight w:val="308" w:hRule="atLeast"/>
        </w:trPr>
        <w:tc>
          <w:tcPr>
            <w:tcW w:w="1556" w:type="pct"/>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448"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年初结转和结余</w:t>
            </w:r>
          </w:p>
        </w:tc>
        <w:tc>
          <w:tcPr>
            <w:tcW w:w="551"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本年收入</w:t>
            </w:r>
          </w:p>
        </w:tc>
        <w:tc>
          <w:tcPr>
            <w:tcW w:w="1324" w:type="pct"/>
            <w:gridSpan w:val="8"/>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c>
          <w:tcPr>
            <w:tcW w:w="559" w:type="pct"/>
            <w:gridSpan w:val="2"/>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年末结转和结余</w:t>
            </w:r>
          </w:p>
        </w:tc>
      </w:tr>
      <w:tr>
        <w:tblPrEx>
          <w:tblCellMar>
            <w:top w:w="0" w:type="dxa"/>
            <w:left w:w="108" w:type="dxa"/>
            <w:bottom w:w="0" w:type="dxa"/>
            <w:right w:w="108" w:type="dxa"/>
          </w:tblCellMar>
        </w:tblPrEx>
        <w:trPr>
          <w:gridAfter w:val="2"/>
          <w:wAfter w:w="558" w:type="pct"/>
          <w:trHeight w:val="315" w:hRule="atLeast"/>
        </w:trPr>
        <w:tc>
          <w:tcPr>
            <w:tcW w:w="539" w:type="pct"/>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017" w:type="pct"/>
            <w:gridSpan w:val="4"/>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4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441"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442"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559" w:type="pct"/>
            <w:gridSpan w:val="2"/>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15" w:hRule="atLeast"/>
        </w:trPr>
        <w:tc>
          <w:tcPr>
            <w:tcW w:w="539"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17" w:type="pct"/>
            <w:gridSpan w:val="4"/>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2"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59" w:type="pct"/>
            <w:gridSpan w:val="2"/>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615" w:hRule="atLeast"/>
        </w:trPr>
        <w:tc>
          <w:tcPr>
            <w:tcW w:w="539"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17" w:type="pct"/>
            <w:gridSpan w:val="4"/>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8"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51"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2"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59" w:type="pct"/>
            <w:gridSpan w:val="2"/>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1556" w:type="pct"/>
            <w:gridSpan w:val="8"/>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4"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539" w:type="pct"/>
            <w:gridSpan w:val="4"/>
            <w:tcBorders>
              <w:top w:val="nil"/>
              <w:left w:val="single" w:color="000000" w:sz="4" w:space="0"/>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017" w:type="pct"/>
            <w:gridSpan w:val="4"/>
            <w:tcBorders>
              <w:top w:val="nil"/>
              <w:left w:val="nil"/>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8" w:type="pct"/>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1" w:type="pct"/>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3"/>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1" w:type="pct"/>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42" w:type="pct"/>
            <w:gridSpan w:val="3"/>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59" w:type="pct"/>
            <w:gridSpan w:val="2"/>
            <w:tcBorders>
              <w:top w:val="nil"/>
              <w:left w:val="nil"/>
              <w:bottom w:val="single" w:color="000000" w:sz="8" w:space="0"/>
              <w:right w:val="single" w:color="000000" w:sz="8"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2"/>
          <w:wAfter w:w="558" w:type="pct"/>
          <w:trHeight w:val="308" w:hRule="atLeast"/>
        </w:trPr>
        <w:tc>
          <w:tcPr>
            <w:tcW w:w="4441" w:type="pct"/>
            <w:gridSpan w:val="22"/>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注：本表反映部门本年度政府性基金预算财政拨款收入支出及结转和结余情况。本表金额转换为万元时，因四舍五入可能存在尾差。</w:t>
            </w:r>
          </w:p>
        </w:tc>
      </w:tr>
      <w:tr>
        <w:tblPrEx>
          <w:tblCellMar>
            <w:top w:w="0" w:type="dxa"/>
            <w:left w:w="108" w:type="dxa"/>
            <w:bottom w:w="0" w:type="dxa"/>
            <w:right w:w="108" w:type="dxa"/>
          </w:tblCellMar>
        </w:tblPrEx>
        <w:trPr>
          <w:trHeight w:val="540" w:hRule="atLeast"/>
        </w:trPr>
        <w:tc>
          <w:tcPr>
            <w:tcW w:w="5000" w:type="pct"/>
            <w:gridSpan w:val="24"/>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36"/>
                <w:szCs w:val="36"/>
                <w:lang w:bidi="ar"/>
              </w:rPr>
              <w:t>国有资本经营预算财政拨款支出决算表</w:t>
            </w:r>
          </w:p>
        </w:tc>
      </w:tr>
      <w:tr>
        <w:tblPrEx>
          <w:tblCellMar>
            <w:top w:w="0" w:type="dxa"/>
            <w:left w:w="108" w:type="dxa"/>
            <w:bottom w:w="0" w:type="dxa"/>
            <w:right w:w="108" w:type="dxa"/>
          </w:tblCellMar>
        </w:tblPrEx>
        <w:trPr>
          <w:trHeight w:val="255" w:hRule="atLeast"/>
        </w:trPr>
        <w:tc>
          <w:tcPr>
            <w:tcW w:w="478"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5" w:type="pct"/>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8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2" w:type="pct"/>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48" w:type="pct"/>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2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pct"/>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公示09表</w:t>
            </w:r>
          </w:p>
        </w:tc>
      </w:tr>
      <w:tr>
        <w:tblPrEx>
          <w:tblCellMar>
            <w:top w:w="0" w:type="dxa"/>
            <w:left w:w="108" w:type="dxa"/>
            <w:bottom w:w="0" w:type="dxa"/>
            <w:right w:w="108" w:type="dxa"/>
          </w:tblCellMar>
        </w:tblPrEx>
        <w:trPr>
          <w:trHeight w:val="255" w:hRule="atLeast"/>
        </w:trPr>
        <w:tc>
          <w:tcPr>
            <w:tcW w:w="2937" w:type="pct"/>
            <w:gridSpan w:val="14"/>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编制单位：绥德县司法局（汇总）</w:t>
            </w:r>
          </w:p>
        </w:tc>
        <w:tc>
          <w:tcPr>
            <w:tcW w:w="748" w:type="pct"/>
            <w:gridSpan w:val="5"/>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202</w:t>
            </w:r>
            <w:r>
              <w:rPr>
                <w:rFonts w:ascii="宋体" w:hAnsi="宋体" w:cs="宋体"/>
                <w:color w:val="000000"/>
                <w:kern w:val="0"/>
                <w:sz w:val="20"/>
                <w:szCs w:val="20"/>
                <w:lang w:bidi="ar"/>
              </w:rPr>
              <w:t>0</w:t>
            </w:r>
            <w:r>
              <w:rPr>
                <w:rFonts w:hint="eastAsia" w:ascii="宋体" w:hAnsi="宋体" w:cs="宋体"/>
                <w:color w:val="000000"/>
                <w:kern w:val="0"/>
                <w:sz w:val="20"/>
                <w:szCs w:val="20"/>
                <w:lang w:bidi="ar"/>
              </w:rPr>
              <w:t>年</w:t>
            </w:r>
          </w:p>
        </w:tc>
        <w:tc>
          <w:tcPr>
            <w:tcW w:w="721"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pct"/>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2937" w:type="pct"/>
            <w:gridSpan w:val="1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2062" w:type="pct"/>
            <w:gridSpan w:val="10"/>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CellMar>
            <w:top w:w="0" w:type="dxa"/>
            <w:left w:w="108" w:type="dxa"/>
            <w:bottom w:w="0" w:type="dxa"/>
            <w:right w:w="108" w:type="dxa"/>
          </w:tblCellMar>
        </w:tblPrEx>
        <w:trPr>
          <w:trHeight w:val="315" w:hRule="atLeast"/>
        </w:trPr>
        <w:tc>
          <w:tcPr>
            <w:tcW w:w="1464" w:type="pct"/>
            <w:gridSpan w:val="7"/>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472" w:type="pct"/>
            <w:gridSpan w:val="7"/>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748" w:type="pct"/>
            <w:gridSpan w:val="5"/>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721"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591"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108" w:type="dxa"/>
            <w:bottom w:w="0" w:type="dxa"/>
            <w:right w:w="108" w:type="dxa"/>
          </w:tblCellMar>
        </w:tblPrEx>
        <w:trPr>
          <w:trHeight w:val="315" w:hRule="atLeast"/>
        </w:trPr>
        <w:tc>
          <w:tcPr>
            <w:tcW w:w="1464" w:type="pct"/>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72" w:type="pct"/>
            <w:gridSpan w:val="7"/>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48" w:type="pct"/>
            <w:gridSpan w:val="5"/>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21"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91"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15" w:hRule="atLeast"/>
        </w:trPr>
        <w:tc>
          <w:tcPr>
            <w:tcW w:w="1464" w:type="pct"/>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72" w:type="pct"/>
            <w:gridSpan w:val="7"/>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48" w:type="pct"/>
            <w:gridSpan w:val="5"/>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21"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91" w:type="pct"/>
            <w:gridSpan w:val="3"/>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937" w:type="pct"/>
            <w:gridSpan w:val="1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64" w:type="pct"/>
            <w:gridSpan w:val="7"/>
            <w:tcBorders>
              <w:top w:val="nil"/>
              <w:left w:val="single" w:color="000000" w:sz="4" w:space="0"/>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2" w:type="pct"/>
            <w:gridSpan w:val="7"/>
            <w:tcBorders>
              <w:top w:val="nil"/>
              <w:left w:val="nil"/>
              <w:bottom w:val="single" w:color="000000" w:sz="8"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48" w:type="pct"/>
            <w:gridSpan w:val="5"/>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721" w:type="pct"/>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91" w:type="pct"/>
            <w:gridSpan w:val="3"/>
            <w:tcBorders>
              <w:top w:val="nil"/>
              <w:left w:val="nil"/>
              <w:bottom w:val="single" w:color="000000" w:sz="8"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5000" w:type="pct"/>
            <w:gridSpan w:val="2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18"/>
                <w:szCs w:val="18"/>
                <w:lang w:bidi="ar"/>
              </w:rPr>
              <w:t>注：本表反映部门本年度国有资本经营预算财政拨款支出情况。本表金额转换为万元时，因四舍五入可能存在尾差。</w:t>
            </w:r>
          </w:p>
        </w:tc>
      </w:tr>
    </w:tbl>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 2020 年部门决算情况说明</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1、20</w:t>
      </w: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bidi="ar"/>
        </w:rPr>
        <w:t>年收入合计</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万元,其中:财政拨款收入</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万元，占收入100%;</w:t>
      </w:r>
    </w:p>
    <w:p>
      <w:pPr>
        <w:pStyle w:val="2"/>
        <w:jc w:val="center"/>
        <w:rPr>
          <w:rFonts w:eastAsia="仿宋_GB2312"/>
        </w:rPr>
      </w:pPr>
      <w:r>
        <w:rPr>
          <w:rFonts w:hint="eastAsia" w:eastAsia="仿宋_GB2312"/>
        </w:rPr>
        <w:drawing>
          <wp:inline distT="0" distB="0" distL="114300" distR="114300">
            <wp:extent cx="3823970" cy="2526030"/>
            <wp:effectExtent l="0" t="0" r="5080" b="76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2、2020年本部门支出共计</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万元，较2</w:t>
      </w:r>
      <w:r>
        <w:rPr>
          <w:rFonts w:ascii="仿宋_GB2312" w:hAnsi="宋体" w:eastAsia="仿宋_GB2312" w:cs="仿宋_GB2312"/>
          <w:color w:val="000000"/>
          <w:kern w:val="0"/>
          <w:sz w:val="32"/>
          <w:szCs w:val="32"/>
          <w:lang w:bidi="ar"/>
        </w:rPr>
        <w:t>019</w:t>
      </w:r>
      <w:r>
        <w:rPr>
          <w:rFonts w:hint="eastAsia" w:ascii="仿宋_GB2312" w:hAnsi="宋体" w:eastAsia="仿宋_GB2312" w:cs="仿宋_GB2312"/>
          <w:color w:val="000000"/>
          <w:kern w:val="0"/>
          <w:sz w:val="32"/>
          <w:szCs w:val="32"/>
          <w:lang w:bidi="ar"/>
        </w:rPr>
        <w:t>增加</w:t>
      </w:r>
      <w:r>
        <w:rPr>
          <w:rFonts w:ascii="仿宋_GB2312" w:hAnsi="宋体" w:eastAsia="仿宋_GB2312" w:cs="仿宋_GB2312"/>
          <w:color w:val="000000"/>
          <w:kern w:val="0"/>
          <w:sz w:val="32"/>
          <w:szCs w:val="32"/>
          <w:lang w:bidi="ar"/>
        </w:rPr>
        <w:t>247.63</w:t>
      </w:r>
      <w:r>
        <w:rPr>
          <w:rFonts w:hint="eastAsia" w:ascii="仿宋_GB2312" w:hAnsi="宋体" w:eastAsia="仿宋_GB2312" w:cs="仿宋_GB2312"/>
          <w:color w:val="000000"/>
          <w:kern w:val="0"/>
          <w:sz w:val="32"/>
          <w:szCs w:val="32"/>
          <w:lang w:bidi="ar"/>
        </w:rPr>
        <w:t>万元，增加</w:t>
      </w:r>
      <w:r>
        <w:rPr>
          <w:rFonts w:ascii="仿宋_GB2312" w:hAnsi="宋体" w:eastAsia="仿宋_GB2312" w:cs="仿宋_GB2312"/>
          <w:color w:val="000000"/>
          <w:kern w:val="0"/>
          <w:sz w:val="32"/>
          <w:szCs w:val="32"/>
          <w:lang w:bidi="ar"/>
        </w:rPr>
        <w:t>17.5</w:t>
      </w:r>
      <w:r>
        <w:rPr>
          <w:rFonts w:hint="eastAsia" w:ascii="仿宋_GB2312" w:hAnsi="宋体" w:eastAsia="仿宋_GB2312" w:cs="仿宋_GB2312"/>
          <w:color w:val="000000"/>
          <w:kern w:val="0"/>
          <w:sz w:val="32"/>
          <w:szCs w:val="32"/>
          <w:lang w:bidi="ar"/>
        </w:rPr>
        <w:t xml:space="preserve"> %，增加原因主要原因是本年度新增3</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名安置大学生兵。其中:人员经费</w:t>
      </w:r>
      <w:r>
        <w:rPr>
          <w:rFonts w:ascii="仿宋_GB2312" w:hAnsi="宋体" w:eastAsia="仿宋_GB2312" w:cs="仿宋_GB2312"/>
          <w:color w:val="000000"/>
          <w:kern w:val="0"/>
          <w:sz w:val="32"/>
          <w:szCs w:val="32"/>
          <w:lang w:bidi="ar"/>
        </w:rPr>
        <w:t>766.73</w:t>
      </w:r>
      <w:r>
        <w:rPr>
          <w:rFonts w:hint="eastAsia" w:ascii="仿宋_GB2312" w:hAnsi="宋体" w:eastAsia="仿宋_GB2312" w:cs="仿宋_GB2312"/>
          <w:color w:val="000000"/>
          <w:kern w:val="0"/>
          <w:sz w:val="32"/>
          <w:szCs w:val="32"/>
          <w:lang w:bidi="ar"/>
        </w:rPr>
        <w:t>万元（主要包括在职人员全年工资，津贴，医保，生育保险，退休工资，取暖费，降温费等</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日常公用经费</w:t>
      </w:r>
      <w:r>
        <w:rPr>
          <w:rFonts w:ascii="仿宋_GB2312" w:hAnsi="宋体" w:eastAsia="仿宋_GB2312" w:cs="仿宋_GB2312"/>
          <w:color w:val="000000"/>
          <w:kern w:val="0"/>
          <w:sz w:val="32"/>
          <w:szCs w:val="32"/>
          <w:lang w:bidi="ar"/>
        </w:rPr>
        <w:t>210.46</w:t>
      </w:r>
      <w:r>
        <w:rPr>
          <w:rFonts w:hint="eastAsia" w:ascii="仿宋_GB2312" w:hAnsi="宋体" w:eastAsia="仿宋_GB2312" w:cs="仿宋_GB2312"/>
          <w:color w:val="000000"/>
          <w:kern w:val="0"/>
          <w:sz w:val="32"/>
          <w:szCs w:val="32"/>
          <w:lang w:bidi="ar"/>
        </w:rPr>
        <w:t>万元（主要包括办公费，差旅费，电话费等）;以及其他司法支出</w:t>
      </w:r>
      <w:r>
        <w:rPr>
          <w:rFonts w:ascii="仿宋_GB2312" w:hAnsi="宋体" w:eastAsia="仿宋_GB2312" w:cs="仿宋_GB2312"/>
          <w:color w:val="000000"/>
          <w:kern w:val="0"/>
          <w:sz w:val="32"/>
          <w:szCs w:val="32"/>
          <w:lang w:bidi="ar"/>
        </w:rPr>
        <w:t>435.95</w:t>
      </w:r>
      <w:r>
        <w:rPr>
          <w:rFonts w:hint="eastAsia" w:ascii="仿宋_GB2312" w:hAnsi="宋体" w:eastAsia="仿宋_GB2312" w:cs="仿宋_GB2312"/>
          <w:color w:val="000000"/>
          <w:kern w:val="0"/>
          <w:sz w:val="32"/>
          <w:szCs w:val="32"/>
          <w:lang w:bidi="ar"/>
        </w:rPr>
        <w:t>万元（主要用于社区矫正、人民调解、法律援助、安置帮教、公证业务等）全年收支平衡。</w:t>
      </w:r>
    </w:p>
    <w:p>
      <w:pPr>
        <w:pStyle w:val="2"/>
        <w:jc w:val="center"/>
        <w:rPr>
          <w:rFonts w:ascii="黑体" w:hAnsi="黑体" w:eastAsia="黑体"/>
          <w:color w:val="000000"/>
          <w:kern w:val="0"/>
          <w:sz w:val="32"/>
          <w:szCs w:val="32"/>
          <w:lang w:bidi="ar"/>
        </w:rPr>
      </w:pPr>
      <w:r>
        <w:rPr>
          <w:rFonts w:hint="eastAsia" w:eastAsia="仿宋_GB2312"/>
        </w:rPr>
        <w:drawing>
          <wp:inline distT="0" distB="0" distL="114300" distR="114300">
            <wp:extent cx="3584575" cy="2523490"/>
            <wp:effectExtent l="0" t="0" r="15875" b="1016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2020年本部门收入共计</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万元，其中一般公共财政拨款收入</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。其中司法局</w:t>
      </w:r>
      <w:r>
        <w:rPr>
          <w:rFonts w:ascii="仿宋_GB2312" w:hAnsi="宋体" w:eastAsia="仿宋_GB2312" w:cs="仿宋_GB2312"/>
          <w:color w:val="000000"/>
          <w:kern w:val="0"/>
          <w:sz w:val="32"/>
          <w:szCs w:val="32"/>
          <w:lang w:bidi="ar"/>
        </w:rPr>
        <w:t>1337.30</w:t>
      </w:r>
      <w:r>
        <w:rPr>
          <w:rFonts w:hint="eastAsia" w:ascii="仿宋_GB2312" w:hAnsi="宋体" w:eastAsia="仿宋_GB2312" w:cs="仿宋_GB2312"/>
          <w:color w:val="000000"/>
          <w:kern w:val="0"/>
          <w:sz w:val="32"/>
          <w:szCs w:val="32"/>
          <w:lang w:bidi="ar"/>
        </w:rPr>
        <w:t>万元，占总数的9</w:t>
      </w:r>
      <w:r>
        <w:rPr>
          <w:rFonts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bidi="ar"/>
        </w:rPr>
        <w:t>；公证处</w:t>
      </w:r>
      <w:r>
        <w:rPr>
          <w:rFonts w:ascii="仿宋_GB2312" w:hAnsi="宋体" w:eastAsia="仿宋_GB2312" w:cs="仿宋_GB2312"/>
          <w:color w:val="000000"/>
          <w:kern w:val="0"/>
          <w:sz w:val="32"/>
          <w:szCs w:val="32"/>
          <w:lang w:bidi="ar"/>
        </w:rPr>
        <w:t>75.84</w:t>
      </w:r>
      <w:r>
        <w:rPr>
          <w:rFonts w:hint="eastAsia" w:ascii="仿宋_GB2312" w:hAnsi="宋体" w:eastAsia="仿宋_GB2312" w:cs="仿宋_GB2312"/>
          <w:color w:val="000000"/>
          <w:kern w:val="0"/>
          <w:sz w:val="32"/>
          <w:szCs w:val="32"/>
          <w:lang w:bidi="ar"/>
        </w:rPr>
        <w:t>万元，占总数的5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pStyle w:val="2"/>
        <w:rPr>
          <w:lang w:bidi="ar"/>
        </w:rPr>
      </w:pPr>
      <w:r>
        <w:rPr>
          <w:lang w:bidi="ar"/>
        </w:rPr>
        <w:drawing>
          <wp:anchor distT="0" distB="0" distL="114300" distR="114300" simplePos="0" relativeHeight="251660288" behindDoc="0" locked="0" layoutInCell="1" allowOverlap="1">
            <wp:simplePos x="0" y="0"/>
            <wp:positionH relativeFrom="column">
              <wp:posOffset>518160</wp:posOffset>
            </wp:positionH>
            <wp:positionV relativeFrom="paragraph">
              <wp:posOffset>111125</wp:posOffset>
            </wp:positionV>
            <wp:extent cx="5486400" cy="320040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jc w:val="center"/>
        <w:rPr>
          <w:rFonts w:eastAsia="仿宋_GB231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 w:hAnsi="仿宋" w:eastAsia="仿宋" w:cs="楷体"/>
          <w:sz w:val="32"/>
          <w:szCs w:val="32"/>
        </w:rPr>
      </w:pPr>
      <w:r>
        <w:rPr>
          <w:rFonts w:hint="eastAsia" w:ascii="仿宋" w:hAnsi="仿宋" w:eastAsia="仿宋" w:cs="楷体"/>
          <w:sz w:val="32"/>
          <w:szCs w:val="32"/>
        </w:rPr>
        <w:t>2020年本部门支出共计</w:t>
      </w:r>
      <w:r>
        <w:rPr>
          <w:rFonts w:ascii="仿宋_GB2312" w:hAnsi="宋体" w:eastAsia="仿宋_GB2312" w:cs="仿宋_GB2312"/>
          <w:color w:val="000000"/>
          <w:kern w:val="0"/>
          <w:sz w:val="32"/>
          <w:szCs w:val="32"/>
          <w:lang w:bidi="ar"/>
        </w:rPr>
        <w:t>1413.14</w:t>
      </w:r>
      <w:r>
        <w:rPr>
          <w:rFonts w:hint="eastAsia" w:ascii="仿宋" w:hAnsi="仿宋" w:eastAsia="仿宋" w:cs="楷体"/>
          <w:sz w:val="32"/>
          <w:szCs w:val="32"/>
        </w:rPr>
        <w:t>万元，一般公共财政拨款支出</w:t>
      </w:r>
      <w:r>
        <w:rPr>
          <w:rFonts w:ascii="仿宋_GB2312" w:hAnsi="宋体" w:eastAsia="仿宋_GB2312" w:cs="仿宋_GB2312"/>
          <w:color w:val="000000"/>
          <w:kern w:val="0"/>
          <w:sz w:val="32"/>
          <w:szCs w:val="32"/>
          <w:lang w:bidi="ar"/>
        </w:rPr>
        <w:t>1413.14</w:t>
      </w:r>
      <w:r>
        <w:rPr>
          <w:rFonts w:hint="eastAsia" w:ascii="仿宋" w:hAnsi="仿宋" w:eastAsia="仿宋" w:cs="楷体"/>
          <w:sz w:val="32"/>
          <w:szCs w:val="32"/>
        </w:rPr>
        <w:t>万元。其中：基本支出</w:t>
      </w:r>
      <w:r>
        <w:rPr>
          <w:rFonts w:ascii="仿宋" w:hAnsi="仿宋" w:eastAsia="仿宋" w:cs="楷体"/>
          <w:sz w:val="32"/>
          <w:szCs w:val="32"/>
        </w:rPr>
        <w:t>977.19</w:t>
      </w:r>
      <w:r>
        <w:rPr>
          <w:rFonts w:hint="eastAsia" w:ascii="仿宋" w:hAnsi="仿宋" w:eastAsia="仿宋" w:cs="楷体"/>
          <w:sz w:val="32"/>
          <w:szCs w:val="32"/>
        </w:rPr>
        <w:t>万元，占</w:t>
      </w:r>
      <w:r>
        <w:rPr>
          <w:rFonts w:ascii="仿宋" w:hAnsi="仿宋" w:eastAsia="仿宋" w:cs="楷体"/>
          <w:sz w:val="32"/>
          <w:szCs w:val="32"/>
        </w:rPr>
        <w:t>69.15</w:t>
      </w:r>
      <w:r>
        <w:rPr>
          <w:rFonts w:hint="eastAsia" w:ascii="仿宋" w:hAnsi="仿宋" w:eastAsia="仿宋" w:cs="楷体"/>
          <w:sz w:val="32"/>
          <w:szCs w:val="32"/>
        </w:rPr>
        <w:t>%；项目支出</w:t>
      </w:r>
      <w:r>
        <w:rPr>
          <w:rFonts w:ascii="仿宋" w:hAnsi="仿宋" w:eastAsia="仿宋" w:cs="楷体"/>
          <w:sz w:val="32"/>
          <w:szCs w:val="32"/>
        </w:rPr>
        <w:t>435.95</w:t>
      </w:r>
      <w:r>
        <w:rPr>
          <w:rFonts w:hint="eastAsia" w:ascii="仿宋" w:hAnsi="仿宋" w:eastAsia="仿宋" w:cs="楷体"/>
          <w:sz w:val="32"/>
          <w:szCs w:val="32"/>
        </w:rPr>
        <w:t>万元，占</w:t>
      </w:r>
      <w:r>
        <w:rPr>
          <w:rFonts w:ascii="仿宋" w:hAnsi="仿宋" w:eastAsia="仿宋" w:cs="楷体"/>
          <w:sz w:val="32"/>
          <w:szCs w:val="32"/>
        </w:rPr>
        <w:t>30.85</w:t>
      </w:r>
      <w:r>
        <w:rPr>
          <w:rFonts w:hint="eastAsia" w:ascii="仿宋" w:hAnsi="仿宋" w:eastAsia="仿宋" w:cs="楷体"/>
          <w:sz w:val="32"/>
          <w:szCs w:val="32"/>
        </w:rPr>
        <w:t>%。</w:t>
      </w:r>
    </w:p>
    <w:p>
      <w:pPr>
        <w:pStyle w:val="2"/>
      </w:pPr>
      <w:r>
        <w:drawing>
          <wp:inline distT="0" distB="0" distL="0" distR="0">
            <wp:extent cx="5486400" cy="32004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ascii="仿宋" w:hAnsi="仿宋" w:eastAsia="仿宋" w:cs="楷体"/>
          <w:sz w:val="32"/>
          <w:szCs w:val="32"/>
        </w:rPr>
      </w:pPr>
      <w:r>
        <w:rPr>
          <w:rFonts w:hint="eastAsia" w:ascii="仿宋_GB2312" w:hAnsi="宋体" w:eastAsia="仿宋_GB2312" w:cs="仿宋_GB2312"/>
          <w:color w:val="000000"/>
          <w:kern w:val="0"/>
          <w:sz w:val="32"/>
          <w:szCs w:val="32"/>
          <w:lang w:bidi="ar"/>
        </w:rPr>
        <w:t>1、2020年本部门收入共计</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万元，较上年增加</w:t>
      </w:r>
      <w:r>
        <w:rPr>
          <w:rFonts w:ascii="仿宋_GB2312" w:hAnsi="宋体" w:eastAsia="仿宋_GB2312" w:cs="仿宋_GB2312"/>
          <w:color w:val="000000"/>
          <w:kern w:val="0"/>
          <w:sz w:val="32"/>
          <w:szCs w:val="32"/>
          <w:lang w:bidi="ar"/>
        </w:rPr>
        <w:t>247.63</w:t>
      </w:r>
      <w:r>
        <w:rPr>
          <w:rFonts w:hint="eastAsia" w:ascii="仿宋_GB2312" w:hAnsi="宋体" w:eastAsia="仿宋_GB2312" w:cs="仿宋_GB2312"/>
          <w:color w:val="000000"/>
          <w:kern w:val="0"/>
          <w:sz w:val="32"/>
          <w:szCs w:val="32"/>
          <w:lang w:bidi="ar"/>
        </w:rPr>
        <w:t>万元，上升</w:t>
      </w:r>
      <w:r>
        <w:rPr>
          <w:rFonts w:ascii="仿宋_GB2312" w:hAnsi="宋体" w:eastAsia="仿宋_GB2312" w:cs="仿宋_GB2312"/>
          <w:color w:val="000000"/>
          <w:kern w:val="0"/>
          <w:sz w:val="32"/>
          <w:szCs w:val="32"/>
          <w:lang w:bidi="ar"/>
        </w:rPr>
        <w:t>17.5</w:t>
      </w:r>
      <w:r>
        <w:rPr>
          <w:rFonts w:hint="eastAsia" w:ascii="仿宋_GB2312" w:hAnsi="宋体" w:eastAsia="仿宋_GB2312" w:cs="仿宋_GB2312"/>
          <w:color w:val="000000"/>
          <w:kern w:val="0"/>
          <w:sz w:val="32"/>
          <w:szCs w:val="32"/>
          <w:lang w:bidi="ar"/>
        </w:rPr>
        <w:t xml:space="preserve"> %，主要原因人员经费增加（本年度新增3</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名安置大学生兵）。</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2、2020年本部门支出共计</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万元，较上年增加</w:t>
      </w:r>
      <w:r>
        <w:rPr>
          <w:rFonts w:ascii="仿宋_GB2312" w:hAnsi="宋体" w:eastAsia="仿宋_GB2312" w:cs="仿宋_GB2312"/>
          <w:color w:val="000000"/>
          <w:kern w:val="0"/>
          <w:sz w:val="32"/>
          <w:szCs w:val="32"/>
          <w:lang w:bidi="ar"/>
        </w:rPr>
        <w:t>247.63</w:t>
      </w:r>
      <w:r>
        <w:rPr>
          <w:rFonts w:hint="eastAsia" w:ascii="仿宋_GB2312" w:hAnsi="宋体" w:eastAsia="仿宋_GB2312" w:cs="仿宋_GB2312"/>
          <w:color w:val="000000"/>
          <w:kern w:val="0"/>
          <w:sz w:val="32"/>
          <w:szCs w:val="32"/>
          <w:lang w:bidi="ar"/>
        </w:rPr>
        <w:t>万元，上升</w:t>
      </w:r>
      <w:r>
        <w:rPr>
          <w:rFonts w:ascii="仿宋_GB2312" w:hAnsi="宋体" w:eastAsia="仿宋_GB2312" w:cs="仿宋_GB2312"/>
          <w:color w:val="000000"/>
          <w:kern w:val="0"/>
          <w:sz w:val="32"/>
          <w:szCs w:val="32"/>
          <w:lang w:bidi="ar"/>
        </w:rPr>
        <w:t>17.5</w:t>
      </w:r>
      <w:r>
        <w:rPr>
          <w:rFonts w:hint="eastAsia" w:ascii="仿宋_GB2312" w:hAnsi="宋体" w:eastAsia="仿宋_GB2312" w:cs="仿宋_GB2312"/>
          <w:color w:val="000000"/>
          <w:kern w:val="0"/>
          <w:sz w:val="32"/>
          <w:szCs w:val="32"/>
          <w:lang w:bidi="ar"/>
        </w:rPr>
        <w:t xml:space="preserve"> %，主要原因人员经费增加（本年度新增3</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名安置大学生兵）。</w:t>
      </w:r>
    </w:p>
    <w:p>
      <w:pPr>
        <w:pStyle w:val="2"/>
        <w:rPr>
          <w:lang w:bidi="ar"/>
        </w:rPr>
      </w:pPr>
    </w:p>
    <w:p>
      <w:pPr>
        <w:pStyle w:val="2"/>
        <w:rPr>
          <w:lang w:bidi="ar"/>
        </w:rPr>
      </w:pPr>
      <w:r>
        <w:rPr>
          <w:rFonts w:hint="eastAsia"/>
          <w:lang w:bidi="ar"/>
        </w:rPr>
        <w:drawing>
          <wp:inline distT="0" distB="0" distL="0" distR="0">
            <wp:extent cx="5486400" cy="32004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420" w:firstLineChars="200"/>
        <w:jc w:val="left"/>
        <w:rPr>
          <w:rFonts w:ascii="黑体" w:hAnsi="黑体" w:eastAsia="黑体"/>
          <w:color w:val="000000"/>
          <w:kern w:val="0"/>
          <w:sz w:val="32"/>
          <w:szCs w:val="32"/>
          <w:lang w:bidi="ar"/>
        </w:rPr>
      </w:pPr>
      <w:r>
        <w:rPr>
          <w:rFonts w:hint="eastAsia"/>
        </w:rPr>
        <w:t xml:space="preserve">       </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2020年一般公共决算拨款支出</w:t>
      </w:r>
      <w:r>
        <w:rPr>
          <w:rFonts w:ascii="仿宋_GB2312" w:hAnsi="宋体" w:eastAsia="仿宋_GB2312" w:cs="仿宋_GB2312"/>
          <w:color w:val="000000"/>
          <w:kern w:val="0"/>
          <w:sz w:val="32"/>
          <w:szCs w:val="32"/>
          <w:lang w:bidi="ar"/>
        </w:rPr>
        <w:t>1413.14</w:t>
      </w:r>
      <w:r>
        <w:rPr>
          <w:rFonts w:hint="eastAsia" w:ascii="仿宋_GB2312" w:hAnsi="宋体" w:eastAsia="仿宋_GB2312" w:cs="仿宋_GB2312"/>
          <w:color w:val="000000"/>
          <w:kern w:val="0"/>
          <w:sz w:val="32"/>
          <w:szCs w:val="32"/>
          <w:lang w:bidi="ar"/>
        </w:rPr>
        <w:t>万元，较2019年增加</w:t>
      </w:r>
      <w:r>
        <w:rPr>
          <w:rFonts w:ascii="仿宋_GB2312" w:hAnsi="宋体" w:eastAsia="仿宋_GB2312" w:cs="仿宋_GB2312"/>
          <w:color w:val="000000"/>
          <w:kern w:val="0"/>
          <w:sz w:val="32"/>
          <w:szCs w:val="32"/>
          <w:lang w:bidi="ar"/>
        </w:rPr>
        <w:t>247.63</w:t>
      </w:r>
      <w:r>
        <w:rPr>
          <w:rFonts w:hint="eastAsia" w:ascii="仿宋_GB2312" w:hAnsi="宋体" w:eastAsia="仿宋_GB2312" w:cs="仿宋_GB2312"/>
          <w:color w:val="000000"/>
          <w:kern w:val="0"/>
          <w:sz w:val="32"/>
          <w:szCs w:val="32"/>
          <w:lang w:bidi="ar"/>
        </w:rPr>
        <w:t>万元，上升</w:t>
      </w:r>
      <w:r>
        <w:rPr>
          <w:rFonts w:ascii="仿宋_GB2312" w:hAnsi="宋体" w:eastAsia="仿宋_GB2312" w:cs="仿宋_GB2312"/>
          <w:color w:val="000000"/>
          <w:kern w:val="0"/>
          <w:sz w:val="32"/>
          <w:szCs w:val="32"/>
          <w:lang w:bidi="ar"/>
        </w:rPr>
        <w:t>17.5</w:t>
      </w:r>
      <w:r>
        <w:rPr>
          <w:rFonts w:hint="eastAsia" w:ascii="仿宋_GB2312" w:hAnsi="宋体" w:eastAsia="仿宋_GB2312" w:cs="仿宋_GB2312"/>
          <w:color w:val="000000"/>
          <w:kern w:val="0"/>
          <w:sz w:val="32"/>
          <w:szCs w:val="32"/>
          <w:lang w:bidi="ar"/>
        </w:rPr>
        <w:t xml:space="preserve"> %，主要原因人员经费增加。</w:t>
      </w:r>
    </w:p>
    <w:p>
      <w:pPr>
        <w:pStyle w:val="2"/>
        <w:jc w:val="center"/>
        <w:rPr>
          <w:rFonts w:eastAsia="仿宋"/>
        </w:rPr>
      </w:pPr>
    </w:p>
    <w:p>
      <w:pPr>
        <w:widowControl/>
        <w:ind w:firstLine="640" w:firstLineChars="200"/>
        <w:jc w:val="left"/>
        <w:rPr>
          <w:rFonts w:eastAsia="仿宋_GB2312"/>
        </w:rPr>
      </w:pPr>
      <w:r>
        <w:rPr>
          <w:rFonts w:hint="eastAsia" w:ascii="仿宋_GB2312" w:hAnsi="宋体" w:eastAsia="仿宋_GB2312" w:cs="仿宋_GB2312"/>
          <w:color w:val="000000"/>
          <w:kern w:val="0"/>
          <w:sz w:val="32"/>
          <w:szCs w:val="32"/>
          <w:lang w:bidi="ar"/>
        </w:rPr>
        <w:t>（如上图）</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spacing w:line="540" w:lineRule="exact"/>
        <w:ind w:firstLine="640" w:firstLineChars="200"/>
        <w:rPr>
          <w:rFonts w:ascii="仿宋" w:hAnsi="仿宋" w:eastAsia="仿宋" w:cs="仿宋"/>
          <w:color w:val="000000"/>
          <w:kern w:val="0"/>
          <w:sz w:val="31"/>
          <w:szCs w:val="31"/>
          <w:lang w:bidi="ar"/>
        </w:rPr>
      </w:pPr>
      <w:r>
        <w:rPr>
          <w:rFonts w:hint="eastAsia" w:ascii="仿宋" w:hAnsi="仿宋" w:eastAsia="仿宋" w:cs="楷体"/>
          <w:sz w:val="32"/>
          <w:szCs w:val="32"/>
        </w:rPr>
        <w:t>2020年一般公共预算财政拨款支出</w:t>
      </w:r>
      <w:r>
        <w:rPr>
          <w:rFonts w:ascii="仿宋_GB2312" w:hAnsi="宋体" w:eastAsia="仿宋_GB2312" w:cs="仿宋_GB2312"/>
          <w:color w:val="000000"/>
          <w:kern w:val="0"/>
          <w:sz w:val="32"/>
          <w:szCs w:val="32"/>
          <w:lang w:bidi="ar"/>
        </w:rPr>
        <w:t>1413.14</w:t>
      </w:r>
      <w:r>
        <w:rPr>
          <w:rFonts w:hint="eastAsia" w:ascii="仿宋" w:hAnsi="仿宋" w:eastAsia="仿宋" w:cs="楷体"/>
          <w:sz w:val="32"/>
          <w:szCs w:val="32"/>
        </w:rPr>
        <w:t>万元，</w:t>
      </w:r>
      <w:r>
        <w:rPr>
          <w:rFonts w:hint="eastAsia" w:ascii="仿宋" w:hAnsi="仿宋" w:eastAsia="仿宋" w:cs="仿宋"/>
          <w:color w:val="000000"/>
          <w:kern w:val="0"/>
          <w:sz w:val="31"/>
          <w:szCs w:val="31"/>
          <w:lang w:bidi="ar"/>
        </w:rPr>
        <w:t>其中：</w:t>
      </w:r>
      <w:bookmarkStart w:id="1" w:name="OLE_LINK1"/>
    </w:p>
    <w:p>
      <w:pPr>
        <w:spacing w:line="540" w:lineRule="exact"/>
        <w:ind w:firstLine="620" w:firstLineChars="200"/>
        <w:rPr>
          <w:rFonts w:ascii="仿宋" w:hAnsi="仿宋" w:eastAsia="仿宋" w:cs="楷体"/>
          <w:sz w:val="32"/>
          <w:szCs w:val="32"/>
        </w:rPr>
      </w:pPr>
      <w:r>
        <w:rPr>
          <w:rFonts w:hint="eastAsia" w:ascii="仿宋" w:hAnsi="仿宋" w:eastAsia="仿宋" w:cs="仿宋"/>
          <w:color w:val="000000"/>
          <w:kern w:val="0"/>
          <w:sz w:val="31"/>
          <w:szCs w:val="31"/>
          <w:lang w:bidi="ar"/>
        </w:rPr>
        <w:t>公共安全支出</w:t>
      </w:r>
      <w:r>
        <w:rPr>
          <w:rFonts w:ascii="仿宋" w:hAnsi="仿宋" w:eastAsia="仿宋" w:cs="仿宋"/>
          <w:color w:val="000000"/>
          <w:kern w:val="0"/>
          <w:sz w:val="31"/>
          <w:szCs w:val="31"/>
          <w:lang w:bidi="ar"/>
        </w:rPr>
        <w:t>1170.05</w:t>
      </w:r>
      <w:r>
        <w:rPr>
          <w:rFonts w:hint="eastAsia" w:ascii="仿宋" w:hAnsi="仿宋" w:eastAsia="仿宋" w:cs="仿宋"/>
          <w:color w:val="000000"/>
          <w:kern w:val="0"/>
          <w:sz w:val="31"/>
          <w:szCs w:val="31"/>
          <w:lang w:bidi="ar"/>
        </w:rPr>
        <w:t>万元，社会保障和就业支出</w:t>
      </w:r>
      <w:bookmarkEnd w:id="1"/>
      <w:r>
        <w:rPr>
          <w:rFonts w:hint="eastAsia" w:ascii="仿宋" w:hAnsi="仿宋" w:eastAsia="仿宋" w:cs="仿宋"/>
          <w:color w:val="000000"/>
          <w:kern w:val="0"/>
          <w:sz w:val="31"/>
          <w:szCs w:val="31"/>
          <w:lang w:bidi="ar"/>
        </w:rPr>
        <w:t>（类）为</w:t>
      </w:r>
      <w:r>
        <w:rPr>
          <w:rFonts w:ascii="仿宋" w:hAnsi="仿宋" w:eastAsia="仿宋" w:cs="仿宋"/>
          <w:color w:val="000000"/>
          <w:kern w:val="0"/>
          <w:sz w:val="31"/>
          <w:szCs w:val="31"/>
          <w:lang w:bidi="ar"/>
        </w:rPr>
        <w:t>97.96</w:t>
      </w:r>
      <w:r>
        <w:rPr>
          <w:rFonts w:hint="eastAsia" w:ascii="仿宋" w:hAnsi="仿宋" w:eastAsia="仿宋" w:cs="仿宋"/>
          <w:color w:val="000000"/>
          <w:kern w:val="0"/>
          <w:sz w:val="31"/>
          <w:szCs w:val="31"/>
          <w:lang w:bidi="ar"/>
        </w:rPr>
        <w:t>万元；卫生健康支出（类）</w:t>
      </w:r>
      <w:r>
        <w:rPr>
          <w:rFonts w:ascii="仿宋" w:hAnsi="仿宋" w:eastAsia="仿宋" w:cs="仿宋"/>
          <w:color w:val="000000"/>
          <w:kern w:val="0"/>
          <w:sz w:val="31"/>
          <w:szCs w:val="31"/>
          <w:lang w:bidi="ar"/>
        </w:rPr>
        <w:t>93.74</w:t>
      </w:r>
      <w:r>
        <w:rPr>
          <w:rFonts w:hint="eastAsia" w:ascii="仿宋" w:hAnsi="仿宋" w:eastAsia="仿宋" w:cs="仿宋"/>
          <w:color w:val="000000"/>
          <w:kern w:val="0"/>
          <w:sz w:val="31"/>
          <w:szCs w:val="31"/>
          <w:lang w:bidi="ar"/>
        </w:rPr>
        <w:t xml:space="preserve"> 万元；住房保障支出（类）</w:t>
      </w:r>
      <w:r>
        <w:rPr>
          <w:rFonts w:ascii="仿宋" w:hAnsi="仿宋" w:eastAsia="仿宋" w:cs="仿宋"/>
          <w:color w:val="000000"/>
          <w:kern w:val="0"/>
          <w:sz w:val="31"/>
          <w:szCs w:val="31"/>
          <w:lang w:bidi="ar"/>
        </w:rPr>
        <w:t>51.40</w:t>
      </w:r>
      <w:r>
        <w:rPr>
          <w:rFonts w:hint="eastAsia" w:ascii="仿宋" w:hAnsi="仿宋" w:eastAsia="仿宋" w:cs="仿宋"/>
          <w:color w:val="000000"/>
          <w:kern w:val="0"/>
          <w:sz w:val="31"/>
          <w:szCs w:val="31"/>
          <w:lang w:bidi="ar"/>
        </w:rPr>
        <w:t>万元。</w:t>
      </w:r>
    </w:p>
    <w:p>
      <w:pPr>
        <w:pStyle w:val="2"/>
      </w:pPr>
    </w:p>
    <w:p>
      <w:pPr>
        <w:spacing w:line="360" w:lineRule="auto"/>
        <w:ind w:left="638" w:leftChars="304"/>
        <w:rPr>
          <w:rFonts w:ascii="黑体" w:hAnsi="黑体" w:eastAsia="黑体"/>
          <w:color w:val="000000"/>
          <w:kern w:val="0"/>
          <w:sz w:val="32"/>
          <w:szCs w:val="32"/>
          <w:lang w:bidi="ar"/>
        </w:rPr>
      </w:pPr>
      <w:r>
        <w:rPr>
          <w:rFonts w:hint="eastAsia"/>
        </w:rPr>
        <w:t xml:space="preserve">       </w:t>
      </w:r>
      <w:r>
        <w:rPr>
          <w:rFonts w:ascii="黑体" w:hAnsi="黑体" w:eastAsia="黑体"/>
          <w:color w:val="000000"/>
          <w:kern w:val="0"/>
          <w:sz w:val="32"/>
          <w:szCs w:val="32"/>
          <w:lang w:bidi="ar"/>
        </w:rPr>
        <w:drawing>
          <wp:inline distT="0" distB="0" distL="0" distR="0">
            <wp:extent cx="5486400" cy="32004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left="638" w:leftChars="304"/>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spacing w:line="540" w:lineRule="exact"/>
        <w:ind w:left="319" w:leftChars="152" w:firstLine="640" w:firstLineChars="200"/>
        <w:rPr>
          <w:rFonts w:ascii="仿宋" w:hAnsi="仿宋" w:eastAsia="仿宋" w:cs="楷体"/>
          <w:sz w:val="32"/>
          <w:szCs w:val="32"/>
        </w:rPr>
      </w:pPr>
      <w:r>
        <w:rPr>
          <w:rFonts w:hint="eastAsia" w:ascii="仿宋" w:hAnsi="仿宋" w:eastAsia="仿宋" w:cs="楷体"/>
          <w:sz w:val="32"/>
          <w:szCs w:val="32"/>
        </w:rPr>
        <w:t>2020年本部门一般公共预算财政拨款基本支出</w:t>
      </w:r>
      <w:r>
        <w:rPr>
          <w:rFonts w:ascii="仿宋_GB2312" w:hAnsi="宋体" w:eastAsia="仿宋_GB2312" w:cs="仿宋_GB2312"/>
          <w:color w:val="000000"/>
          <w:kern w:val="0"/>
          <w:sz w:val="32"/>
          <w:szCs w:val="32"/>
          <w:lang w:bidi="ar"/>
        </w:rPr>
        <w:t>977.19</w:t>
      </w:r>
      <w:r>
        <w:rPr>
          <w:rFonts w:hint="eastAsia" w:ascii="仿宋" w:hAnsi="仿宋" w:eastAsia="仿宋" w:cs="楷体"/>
          <w:sz w:val="32"/>
          <w:szCs w:val="32"/>
        </w:rPr>
        <w:t>万元，</w:t>
      </w:r>
      <w:r>
        <w:rPr>
          <w:rFonts w:ascii="仿宋_GB2312" w:hAnsi="仿宋_GB2312" w:eastAsia="仿宋_GB2312" w:cs="仿宋_GB2312"/>
          <w:color w:val="000000"/>
          <w:kern w:val="0"/>
          <w:sz w:val="31"/>
          <w:szCs w:val="31"/>
          <w:lang w:bidi="ar"/>
        </w:rPr>
        <w:t>包括：人员经费支出766.73万元和公用经费支出210.46万元。</w:t>
      </w:r>
      <w:r>
        <w:rPr>
          <w:rFonts w:hint="eastAsia" w:ascii="仿宋" w:hAnsi="仿宋" w:eastAsia="仿宋" w:cs="楷体"/>
          <w:sz w:val="32"/>
          <w:szCs w:val="32"/>
        </w:rPr>
        <w:t>其中：</w:t>
      </w:r>
    </w:p>
    <w:p>
      <w:pPr>
        <w:widowControl/>
        <w:ind w:left="319" w:leftChars="152" w:firstLine="640" w:firstLineChars="200"/>
        <w:jc w:val="left"/>
        <w:rPr>
          <w:rFonts w:ascii="仿宋" w:hAnsi="仿宋" w:eastAsia="仿宋" w:cs="仿宋"/>
          <w:sz w:val="28"/>
          <w:szCs w:val="28"/>
        </w:rPr>
      </w:pPr>
      <w:r>
        <w:rPr>
          <w:rFonts w:hint="eastAsia" w:ascii="仿宋_GB2312" w:hAnsi="宋体" w:eastAsia="仿宋_GB2312" w:cs="仿宋_GB2312"/>
          <w:color w:val="000000"/>
          <w:kern w:val="0"/>
          <w:sz w:val="32"/>
          <w:szCs w:val="32"/>
          <w:lang w:bidi="ar"/>
        </w:rPr>
        <w:t>工资福利费</w:t>
      </w:r>
      <w:r>
        <w:rPr>
          <w:rFonts w:ascii="仿宋_GB2312" w:hAnsi="宋体" w:eastAsia="仿宋_GB2312" w:cs="仿宋_GB2312"/>
          <w:color w:val="000000"/>
          <w:kern w:val="0"/>
          <w:sz w:val="32"/>
          <w:szCs w:val="32"/>
          <w:lang w:bidi="ar"/>
        </w:rPr>
        <w:t>766.73</w:t>
      </w:r>
      <w:r>
        <w:rPr>
          <w:rFonts w:hint="eastAsia" w:ascii="仿宋_GB2312" w:hAnsi="宋体" w:eastAsia="仿宋_GB2312" w:cs="仿宋_GB2312"/>
          <w:color w:val="000000"/>
          <w:kern w:val="0"/>
          <w:sz w:val="32"/>
          <w:szCs w:val="32"/>
          <w:lang w:bidi="ar"/>
        </w:rPr>
        <w:t>万元，主要包括基本工资</w:t>
      </w:r>
      <w:r>
        <w:rPr>
          <w:rFonts w:ascii="仿宋_GB2312" w:hAnsi="宋体" w:eastAsia="仿宋_GB2312" w:cs="仿宋_GB2312"/>
          <w:color w:val="000000"/>
          <w:kern w:val="0"/>
          <w:sz w:val="32"/>
          <w:szCs w:val="32"/>
          <w:lang w:bidi="ar"/>
        </w:rPr>
        <w:t>275.60</w:t>
      </w:r>
      <w:r>
        <w:rPr>
          <w:rFonts w:hint="eastAsia" w:ascii="仿宋_GB2312" w:hAnsi="宋体" w:eastAsia="仿宋_GB2312" w:cs="仿宋_GB2312"/>
          <w:color w:val="000000"/>
          <w:kern w:val="0"/>
          <w:sz w:val="32"/>
          <w:szCs w:val="32"/>
          <w:lang w:bidi="ar"/>
        </w:rPr>
        <w:t>万元，津贴补贴</w:t>
      </w:r>
      <w:r>
        <w:rPr>
          <w:rFonts w:ascii="仿宋_GB2312" w:hAnsi="宋体" w:eastAsia="仿宋_GB2312" w:cs="仿宋_GB2312"/>
          <w:color w:val="000000"/>
          <w:kern w:val="0"/>
          <w:sz w:val="32"/>
          <w:szCs w:val="32"/>
          <w:lang w:bidi="ar"/>
        </w:rPr>
        <w:t>175.99</w:t>
      </w:r>
      <w:r>
        <w:rPr>
          <w:rFonts w:hint="eastAsia" w:ascii="仿宋_GB2312" w:hAnsi="宋体" w:eastAsia="仿宋_GB2312" w:cs="仿宋_GB2312"/>
          <w:color w:val="000000"/>
          <w:kern w:val="0"/>
          <w:sz w:val="32"/>
          <w:szCs w:val="32"/>
          <w:lang w:bidi="ar"/>
        </w:rPr>
        <w:t>万元，奖金</w:t>
      </w:r>
      <w:r>
        <w:rPr>
          <w:rFonts w:ascii="仿宋_GB2312" w:hAnsi="宋体" w:eastAsia="仿宋_GB2312" w:cs="仿宋_GB2312"/>
          <w:color w:val="000000"/>
          <w:kern w:val="0"/>
          <w:sz w:val="32"/>
          <w:szCs w:val="32"/>
          <w:lang w:bidi="ar"/>
        </w:rPr>
        <w:t>35.55</w:t>
      </w:r>
      <w:r>
        <w:rPr>
          <w:rFonts w:hint="eastAsia" w:ascii="仿宋_GB2312" w:hAnsi="宋体" w:eastAsia="仿宋_GB2312" w:cs="仿宋_GB2312"/>
          <w:color w:val="000000"/>
          <w:kern w:val="0"/>
          <w:sz w:val="32"/>
          <w:szCs w:val="32"/>
          <w:lang w:bidi="ar"/>
        </w:rPr>
        <w:t>万元，绩效工资</w:t>
      </w:r>
      <w:r>
        <w:rPr>
          <w:rFonts w:ascii="仿宋_GB2312" w:hAnsi="宋体" w:eastAsia="仿宋_GB2312" w:cs="仿宋_GB2312"/>
          <w:color w:val="000000"/>
          <w:kern w:val="0"/>
          <w:sz w:val="32"/>
          <w:szCs w:val="32"/>
          <w:lang w:bidi="ar"/>
        </w:rPr>
        <w:t>36.50</w:t>
      </w:r>
      <w:r>
        <w:rPr>
          <w:rFonts w:hint="eastAsia" w:ascii="仿宋_GB2312" w:hAnsi="宋体" w:eastAsia="仿宋_GB2312" w:cs="仿宋_GB2312"/>
          <w:color w:val="000000"/>
          <w:kern w:val="0"/>
          <w:sz w:val="32"/>
          <w:szCs w:val="32"/>
          <w:lang w:bidi="ar"/>
        </w:rPr>
        <w:t>万元，机关事业单位基本养老保险缴费</w:t>
      </w:r>
      <w:r>
        <w:rPr>
          <w:rFonts w:ascii="仿宋_GB2312" w:hAnsi="宋体" w:eastAsia="仿宋_GB2312" w:cs="仿宋_GB2312"/>
          <w:color w:val="000000"/>
          <w:kern w:val="0"/>
          <w:sz w:val="32"/>
          <w:szCs w:val="32"/>
          <w:lang w:bidi="ar"/>
        </w:rPr>
        <w:t>66.93</w:t>
      </w:r>
      <w:r>
        <w:rPr>
          <w:rFonts w:hint="eastAsia" w:ascii="仿宋_GB2312" w:hAnsi="宋体" w:eastAsia="仿宋_GB2312" w:cs="仿宋_GB2312"/>
          <w:color w:val="000000"/>
          <w:kern w:val="0"/>
          <w:sz w:val="32"/>
          <w:szCs w:val="32"/>
          <w:lang w:bidi="ar"/>
        </w:rPr>
        <w:t>万元，职业年金缴费</w:t>
      </w:r>
      <w:r>
        <w:rPr>
          <w:rFonts w:ascii="仿宋_GB2312" w:hAnsi="宋体" w:eastAsia="仿宋_GB2312" w:cs="仿宋_GB2312"/>
          <w:color w:val="000000"/>
          <w:kern w:val="0"/>
          <w:sz w:val="32"/>
          <w:szCs w:val="32"/>
          <w:lang w:bidi="ar"/>
        </w:rPr>
        <w:t>31.01</w:t>
      </w:r>
      <w:r>
        <w:rPr>
          <w:rFonts w:hint="eastAsia" w:ascii="仿宋_GB2312" w:hAnsi="宋体" w:eastAsia="仿宋_GB2312" w:cs="仿宋_GB2312"/>
          <w:color w:val="000000"/>
          <w:kern w:val="0"/>
          <w:sz w:val="32"/>
          <w:szCs w:val="32"/>
          <w:lang w:bidi="ar"/>
        </w:rPr>
        <w:t>万元，职工基本医疗保险缴费</w:t>
      </w:r>
      <w:r>
        <w:rPr>
          <w:rFonts w:ascii="仿宋_GB2312" w:hAnsi="宋体" w:eastAsia="仿宋_GB2312" w:cs="仿宋_GB2312"/>
          <w:color w:val="000000"/>
          <w:kern w:val="0"/>
          <w:sz w:val="32"/>
          <w:szCs w:val="32"/>
          <w:lang w:bidi="ar"/>
        </w:rPr>
        <w:t>93.74</w:t>
      </w:r>
      <w:r>
        <w:rPr>
          <w:rFonts w:hint="eastAsia" w:ascii="仿宋_GB2312" w:hAnsi="宋体" w:eastAsia="仿宋_GB2312" w:cs="仿宋_GB2312"/>
          <w:color w:val="000000"/>
          <w:kern w:val="0"/>
          <w:sz w:val="32"/>
          <w:szCs w:val="32"/>
          <w:lang w:bidi="ar"/>
        </w:rPr>
        <w:t>万元，住房公积金</w:t>
      </w:r>
      <w:r>
        <w:rPr>
          <w:rFonts w:ascii="仿宋_GB2312" w:hAnsi="宋体" w:eastAsia="仿宋_GB2312" w:cs="仿宋_GB2312"/>
          <w:color w:val="000000"/>
          <w:kern w:val="0"/>
          <w:sz w:val="32"/>
          <w:szCs w:val="32"/>
          <w:lang w:bidi="ar"/>
        </w:rPr>
        <w:t>51.40</w:t>
      </w:r>
      <w:r>
        <w:rPr>
          <w:rFonts w:hint="eastAsia" w:ascii="仿宋_GB2312" w:hAnsi="宋体" w:eastAsia="仿宋_GB2312" w:cs="仿宋_GB2312"/>
          <w:color w:val="000000"/>
          <w:kern w:val="0"/>
          <w:sz w:val="32"/>
          <w:szCs w:val="32"/>
          <w:lang w:bidi="ar"/>
        </w:rPr>
        <w:t>万元。</w:t>
      </w:r>
      <w:r>
        <w:rPr>
          <w:rFonts w:ascii="仿宋" w:hAnsi="仿宋" w:eastAsia="仿宋" w:cs="仿宋"/>
          <w:sz w:val="28"/>
          <w:szCs w:val="28"/>
        </w:rPr>
        <w:t xml:space="preserve"> </w:t>
      </w:r>
    </w:p>
    <w:p>
      <w:pPr>
        <w:ind w:left="319" w:leftChars="152" w:firstLine="640" w:firstLineChars="200"/>
        <w:rPr>
          <w:rFonts w:ascii="仿宋" w:hAnsi="仿宋" w:eastAsia="仿宋"/>
          <w:sz w:val="32"/>
          <w:szCs w:val="32"/>
        </w:rPr>
      </w:pPr>
      <w:r>
        <w:rPr>
          <w:rFonts w:hint="eastAsia" w:ascii="仿宋_GB2312" w:hAnsi="宋体" w:eastAsia="仿宋_GB2312" w:cs="仿宋_GB2312"/>
          <w:color w:val="000000"/>
          <w:kern w:val="0"/>
          <w:sz w:val="32"/>
          <w:szCs w:val="32"/>
          <w:lang w:bidi="ar"/>
        </w:rPr>
        <w:t>商品和服务支出2</w:t>
      </w:r>
      <w:r>
        <w:rPr>
          <w:rFonts w:ascii="仿宋_GB2312" w:hAnsi="宋体" w:eastAsia="仿宋_GB2312" w:cs="仿宋_GB2312"/>
          <w:color w:val="000000"/>
          <w:kern w:val="0"/>
          <w:sz w:val="32"/>
          <w:szCs w:val="32"/>
          <w:lang w:bidi="ar"/>
        </w:rPr>
        <w:t>10.46</w:t>
      </w:r>
      <w:r>
        <w:rPr>
          <w:rFonts w:hint="eastAsia" w:ascii="仿宋_GB2312" w:hAnsi="宋体" w:eastAsia="仿宋_GB2312" w:cs="仿宋_GB2312"/>
          <w:color w:val="000000"/>
          <w:kern w:val="0"/>
          <w:sz w:val="32"/>
          <w:szCs w:val="32"/>
          <w:lang w:bidi="ar"/>
        </w:rPr>
        <w:t>万元，</w:t>
      </w:r>
      <w:r>
        <w:rPr>
          <w:rFonts w:hint="eastAsia" w:ascii="仿宋" w:hAnsi="仿宋" w:eastAsia="仿宋"/>
          <w:color w:val="000000"/>
          <w:sz w:val="32"/>
          <w:szCs w:val="32"/>
        </w:rPr>
        <w:t>主要包括：</w:t>
      </w:r>
      <w:r>
        <w:rPr>
          <w:rFonts w:hint="eastAsia" w:ascii="仿宋" w:hAnsi="仿宋" w:eastAsia="仿宋"/>
          <w:sz w:val="32"/>
          <w:szCs w:val="32"/>
        </w:rPr>
        <w:t>办公费</w:t>
      </w:r>
      <w:r>
        <w:rPr>
          <w:rFonts w:ascii="仿宋" w:hAnsi="仿宋" w:eastAsia="仿宋"/>
          <w:sz w:val="32"/>
          <w:szCs w:val="32"/>
        </w:rPr>
        <w:t>80.65</w:t>
      </w:r>
      <w:r>
        <w:rPr>
          <w:rFonts w:hint="eastAsia" w:ascii="仿宋" w:hAnsi="仿宋" w:eastAsia="仿宋"/>
          <w:sz w:val="32"/>
          <w:szCs w:val="32"/>
        </w:rPr>
        <w:t>万元，印刷费</w:t>
      </w:r>
      <w:r>
        <w:rPr>
          <w:rFonts w:ascii="仿宋" w:hAnsi="仿宋" w:eastAsia="仿宋"/>
          <w:sz w:val="32"/>
          <w:szCs w:val="32"/>
        </w:rPr>
        <w:t>59.0</w:t>
      </w:r>
      <w:r>
        <w:rPr>
          <w:rFonts w:hint="eastAsia" w:ascii="仿宋" w:hAnsi="仿宋" w:eastAsia="仿宋"/>
          <w:sz w:val="32"/>
          <w:szCs w:val="32"/>
        </w:rPr>
        <w:t>4万元，咨询费</w:t>
      </w:r>
      <w:r>
        <w:rPr>
          <w:rFonts w:ascii="仿宋" w:hAnsi="仿宋" w:eastAsia="仿宋"/>
          <w:sz w:val="32"/>
          <w:szCs w:val="32"/>
        </w:rPr>
        <w:t>3.69</w:t>
      </w:r>
      <w:r>
        <w:rPr>
          <w:rFonts w:hint="eastAsia" w:ascii="仿宋" w:hAnsi="仿宋" w:eastAsia="仿宋"/>
          <w:sz w:val="32"/>
          <w:szCs w:val="32"/>
        </w:rPr>
        <w:t>万元，水费</w:t>
      </w:r>
      <w:r>
        <w:rPr>
          <w:rFonts w:ascii="仿宋" w:hAnsi="仿宋" w:eastAsia="仿宋"/>
          <w:sz w:val="32"/>
          <w:szCs w:val="32"/>
        </w:rPr>
        <w:t>4.9</w:t>
      </w:r>
      <w:r>
        <w:rPr>
          <w:rFonts w:hint="eastAsia" w:ascii="仿宋" w:hAnsi="仿宋" w:eastAsia="仿宋"/>
          <w:sz w:val="32"/>
          <w:szCs w:val="32"/>
        </w:rPr>
        <w:t>万元，电费</w:t>
      </w:r>
      <w:r>
        <w:rPr>
          <w:rFonts w:ascii="仿宋" w:hAnsi="仿宋" w:eastAsia="仿宋"/>
          <w:sz w:val="32"/>
          <w:szCs w:val="32"/>
        </w:rPr>
        <w:t>5.9</w:t>
      </w:r>
      <w:r>
        <w:rPr>
          <w:rFonts w:hint="eastAsia" w:ascii="仿宋" w:hAnsi="仿宋" w:eastAsia="仿宋"/>
          <w:sz w:val="32"/>
          <w:szCs w:val="32"/>
        </w:rPr>
        <w:t>万元，邮电费</w:t>
      </w:r>
      <w:r>
        <w:rPr>
          <w:rFonts w:ascii="仿宋" w:hAnsi="仿宋" w:eastAsia="仿宋"/>
          <w:sz w:val="32"/>
          <w:szCs w:val="32"/>
        </w:rPr>
        <w:t>2.25</w:t>
      </w:r>
      <w:r>
        <w:rPr>
          <w:rFonts w:hint="eastAsia" w:ascii="仿宋" w:hAnsi="仿宋" w:eastAsia="仿宋"/>
          <w:sz w:val="32"/>
          <w:szCs w:val="32"/>
        </w:rPr>
        <w:t>万元，物业管理费2</w:t>
      </w:r>
      <w:r>
        <w:rPr>
          <w:rFonts w:ascii="仿宋" w:hAnsi="仿宋" w:eastAsia="仿宋"/>
          <w:sz w:val="32"/>
          <w:szCs w:val="32"/>
        </w:rPr>
        <w:t>2.17</w:t>
      </w:r>
      <w:r>
        <w:rPr>
          <w:rFonts w:hint="eastAsia" w:ascii="仿宋" w:hAnsi="仿宋" w:eastAsia="仿宋"/>
          <w:sz w:val="32"/>
          <w:szCs w:val="32"/>
        </w:rPr>
        <w:t>万元，差旅费</w:t>
      </w:r>
      <w:r>
        <w:rPr>
          <w:rFonts w:ascii="仿宋" w:hAnsi="仿宋" w:eastAsia="仿宋"/>
          <w:sz w:val="32"/>
          <w:szCs w:val="32"/>
        </w:rPr>
        <w:t>4.92</w:t>
      </w:r>
      <w:r>
        <w:rPr>
          <w:rFonts w:hint="eastAsia" w:ascii="仿宋" w:hAnsi="仿宋" w:eastAsia="仿宋"/>
          <w:sz w:val="32"/>
          <w:szCs w:val="32"/>
        </w:rPr>
        <w:t>万元，会议费0</w:t>
      </w:r>
      <w:r>
        <w:rPr>
          <w:rFonts w:ascii="仿宋" w:hAnsi="仿宋" w:eastAsia="仿宋"/>
          <w:sz w:val="32"/>
          <w:szCs w:val="32"/>
        </w:rPr>
        <w:t>.18</w:t>
      </w:r>
      <w:r>
        <w:rPr>
          <w:rFonts w:hint="eastAsia" w:ascii="仿宋" w:hAnsi="仿宋" w:eastAsia="仿宋"/>
          <w:sz w:val="32"/>
          <w:szCs w:val="32"/>
        </w:rPr>
        <w:t>万元，公务接待费</w:t>
      </w:r>
      <w:r>
        <w:rPr>
          <w:rFonts w:ascii="仿宋" w:hAnsi="仿宋" w:eastAsia="仿宋"/>
          <w:sz w:val="32"/>
          <w:szCs w:val="32"/>
        </w:rPr>
        <w:t>0.27</w:t>
      </w:r>
      <w:r>
        <w:rPr>
          <w:rFonts w:hint="eastAsia" w:ascii="仿宋" w:hAnsi="仿宋" w:eastAsia="仿宋"/>
          <w:sz w:val="32"/>
          <w:szCs w:val="32"/>
        </w:rPr>
        <w:t>万元，被装购置费1</w:t>
      </w:r>
      <w:r>
        <w:rPr>
          <w:rFonts w:ascii="仿宋" w:hAnsi="仿宋" w:eastAsia="仿宋"/>
          <w:sz w:val="32"/>
          <w:szCs w:val="32"/>
        </w:rPr>
        <w:t>.34</w:t>
      </w:r>
      <w:r>
        <w:rPr>
          <w:rFonts w:hint="eastAsia" w:ascii="仿宋" w:hAnsi="仿宋" w:eastAsia="仿宋"/>
          <w:sz w:val="32"/>
          <w:szCs w:val="32"/>
        </w:rPr>
        <w:t>万元，专用燃料费1</w:t>
      </w:r>
      <w:r>
        <w:rPr>
          <w:rFonts w:ascii="仿宋" w:hAnsi="仿宋" w:eastAsia="仿宋"/>
          <w:sz w:val="32"/>
          <w:szCs w:val="32"/>
        </w:rPr>
        <w:t>.13</w:t>
      </w:r>
      <w:r>
        <w:rPr>
          <w:rFonts w:hint="eastAsia" w:ascii="仿宋" w:hAnsi="仿宋" w:eastAsia="仿宋"/>
          <w:sz w:val="32"/>
          <w:szCs w:val="32"/>
        </w:rPr>
        <w:t>万元，公务用车运行维护费2</w:t>
      </w:r>
      <w:r>
        <w:rPr>
          <w:rFonts w:ascii="仿宋" w:hAnsi="仿宋" w:eastAsia="仿宋"/>
          <w:sz w:val="32"/>
          <w:szCs w:val="32"/>
        </w:rPr>
        <w:t>.78</w:t>
      </w:r>
      <w:r>
        <w:rPr>
          <w:rFonts w:hint="eastAsia" w:ascii="仿宋" w:hAnsi="仿宋" w:eastAsia="仿宋"/>
          <w:sz w:val="32"/>
          <w:szCs w:val="32"/>
        </w:rPr>
        <w:t>万元，其他交通费用3</w:t>
      </w:r>
      <w:r>
        <w:rPr>
          <w:rFonts w:ascii="仿宋" w:hAnsi="仿宋" w:eastAsia="仿宋"/>
          <w:sz w:val="32"/>
          <w:szCs w:val="32"/>
        </w:rPr>
        <w:t>.08</w:t>
      </w:r>
      <w:r>
        <w:rPr>
          <w:rFonts w:hint="eastAsia" w:ascii="仿宋" w:hAnsi="仿宋" w:eastAsia="仿宋"/>
          <w:sz w:val="32"/>
          <w:szCs w:val="32"/>
        </w:rPr>
        <w:t>万元，其他商品服务支出</w:t>
      </w:r>
      <w:r>
        <w:rPr>
          <w:rFonts w:ascii="仿宋" w:hAnsi="仿宋" w:eastAsia="仿宋"/>
          <w:sz w:val="32"/>
          <w:szCs w:val="32"/>
        </w:rPr>
        <w:t>18.15</w:t>
      </w:r>
      <w:r>
        <w:rPr>
          <w:rFonts w:hint="eastAsia" w:ascii="仿宋" w:hAnsi="仿宋" w:eastAsia="仿宋"/>
          <w:sz w:val="32"/>
          <w:szCs w:val="32"/>
        </w:rPr>
        <w:t>万元。</w:t>
      </w:r>
    </w:p>
    <w:p>
      <w:pPr>
        <w:pStyle w:val="2"/>
      </w:pPr>
      <w:r>
        <w:rPr>
          <w:rFonts w:hint="eastAsia"/>
        </w:rPr>
        <w:t xml:space="preserve">           </w:t>
      </w:r>
      <w:r>
        <w:drawing>
          <wp:inline distT="0" distB="0" distL="0" distR="0">
            <wp:extent cx="5486400" cy="32004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ind w:firstLine="640" w:firstLineChars="200"/>
        <w:rPr>
          <w:rFonts w:ascii="仿宋" w:hAnsi="仿宋" w:eastAsia="仿宋"/>
          <w:sz w:val="32"/>
          <w:szCs w:val="32"/>
        </w:rPr>
      </w:pPr>
      <w:r>
        <w:rPr>
          <w:rFonts w:hint="eastAsia" w:ascii="仿宋" w:hAnsi="仿宋" w:eastAsia="仿宋"/>
          <w:sz w:val="32"/>
          <w:szCs w:val="32"/>
        </w:rPr>
        <w:t>2020年“三公”经费财政拨款支出预算为</w:t>
      </w:r>
      <w:r>
        <w:rPr>
          <w:rFonts w:ascii="仿宋" w:hAnsi="仿宋" w:eastAsia="仿宋"/>
          <w:sz w:val="32"/>
          <w:szCs w:val="32"/>
        </w:rPr>
        <w:t>3.06</w:t>
      </w:r>
      <w:r>
        <w:rPr>
          <w:rFonts w:hint="eastAsia" w:ascii="仿宋" w:hAnsi="仿宋" w:eastAsia="仿宋"/>
          <w:sz w:val="32"/>
          <w:szCs w:val="32"/>
        </w:rPr>
        <w:t>万元，支出决算为</w:t>
      </w:r>
      <w:r>
        <w:rPr>
          <w:rFonts w:ascii="仿宋" w:hAnsi="仿宋" w:eastAsia="仿宋"/>
          <w:sz w:val="32"/>
          <w:szCs w:val="32"/>
        </w:rPr>
        <w:t>3.05</w:t>
      </w:r>
      <w:r>
        <w:rPr>
          <w:rFonts w:hint="eastAsia" w:ascii="仿宋" w:hAnsi="仿宋" w:eastAsia="仿宋"/>
          <w:sz w:val="32"/>
          <w:szCs w:val="32"/>
        </w:rPr>
        <w:t>万元。主要原因是主要是因为公车制度改革和严格贯彻落实八项规定,严格控制各项费用。</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 w:hAnsi="仿宋" w:eastAsia="仿宋" w:cs="楷体"/>
          <w:sz w:val="32"/>
          <w:szCs w:val="32"/>
        </w:rPr>
      </w:pPr>
      <w:r>
        <w:rPr>
          <w:rFonts w:hint="eastAsia" w:ascii="仿宋" w:hAnsi="仿宋" w:eastAsia="仿宋" w:cs="楷体"/>
          <w:sz w:val="32"/>
          <w:szCs w:val="32"/>
        </w:rPr>
        <w:t>20</w:t>
      </w:r>
      <w:r>
        <w:rPr>
          <w:rFonts w:ascii="仿宋" w:hAnsi="仿宋" w:eastAsia="仿宋" w:cs="楷体"/>
          <w:sz w:val="32"/>
          <w:szCs w:val="32"/>
        </w:rPr>
        <w:t>20</w:t>
      </w:r>
      <w:r>
        <w:rPr>
          <w:rFonts w:hint="eastAsia" w:ascii="仿宋" w:hAnsi="仿宋" w:eastAsia="仿宋" w:cs="楷体"/>
          <w:sz w:val="32"/>
          <w:szCs w:val="32"/>
        </w:rPr>
        <w:t>年“三公”经费财政拨款支出决算中，因公出国（境)费支出决算无;公务用车购置费支出无;公务用车运行维护费支出决算2.78万元，占 91%;公务接待费支出决算0.2</w:t>
      </w:r>
      <w:r>
        <w:rPr>
          <w:rFonts w:ascii="仿宋" w:hAnsi="仿宋" w:eastAsia="仿宋" w:cs="楷体"/>
          <w:sz w:val="32"/>
          <w:szCs w:val="32"/>
        </w:rPr>
        <w:t>7</w:t>
      </w:r>
      <w:r>
        <w:rPr>
          <w:rFonts w:hint="eastAsia" w:ascii="仿宋" w:hAnsi="仿宋" w:eastAsia="仿宋" w:cs="楷体"/>
          <w:sz w:val="32"/>
          <w:szCs w:val="32"/>
        </w:rPr>
        <w:t>万元，占</w:t>
      </w:r>
      <w:r>
        <w:rPr>
          <w:rFonts w:ascii="仿宋" w:hAnsi="仿宋" w:eastAsia="仿宋" w:cs="楷体"/>
          <w:sz w:val="32"/>
          <w:szCs w:val="32"/>
        </w:rPr>
        <w:t>8.88</w:t>
      </w:r>
      <w:r>
        <w:rPr>
          <w:rFonts w:hint="eastAsia" w:ascii="仿宋" w:hAnsi="仿宋" w:eastAsia="仿宋" w:cs="楷体"/>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2020年因公出国（境）团组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主要原因</w:t>
      </w:r>
      <w:r>
        <w:rPr>
          <w:rFonts w:hint="eastAsia" w:ascii="仿宋" w:hAnsi="仿宋" w:eastAsia="仿宋"/>
          <w:sz w:val="32"/>
          <w:szCs w:val="32"/>
        </w:rPr>
        <w:t>是主要是严格贯彻落实八项规定,严格控制各项费用</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无此项目支出。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年公务用车运行维护费预算为2.78万元，</w:t>
      </w:r>
      <w:r>
        <w:rPr>
          <w:rFonts w:hint="eastAsia" w:ascii="仿宋_GB2312" w:hAnsi="仿宋" w:eastAsia="仿宋_GB2312"/>
          <w:sz w:val="32"/>
          <w:szCs w:val="32"/>
          <w:lang w:eastAsia="zh-CN"/>
        </w:rPr>
        <w:t>公务用车</w:t>
      </w:r>
      <w:r>
        <w:rPr>
          <w:rFonts w:hint="eastAsia" w:ascii="仿宋_GB2312" w:hAnsi="仿宋" w:eastAsia="仿宋_GB2312"/>
          <w:sz w:val="32"/>
          <w:szCs w:val="32"/>
          <w:lang w:val="en-US" w:eastAsia="zh-CN"/>
        </w:rPr>
        <w:t>86次，</w:t>
      </w:r>
      <w:r>
        <w:rPr>
          <w:rFonts w:hint="eastAsia" w:ascii="仿宋_GB2312" w:hAnsi="仿宋" w:eastAsia="仿宋_GB2312"/>
          <w:sz w:val="32"/>
          <w:szCs w:val="32"/>
        </w:rPr>
        <w:t>支出决算为2.78万元，完成预算的100%。</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color w:val="auto"/>
          <w:sz w:val="32"/>
          <w:szCs w:val="32"/>
        </w:rPr>
        <w:t>20</w:t>
      </w:r>
      <w:r>
        <w:rPr>
          <w:rFonts w:ascii="仿宋_GB2312" w:hAnsi="仿宋" w:eastAsia="仿宋_GB2312"/>
          <w:color w:val="auto"/>
          <w:sz w:val="32"/>
          <w:szCs w:val="32"/>
        </w:rPr>
        <w:t>20</w:t>
      </w:r>
      <w:r>
        <w:rPr>
          <w:rFonts w:hint="eastAsia" w:ascii="仿宋_GB2312" w:hAnsi="仿宋" w:eastAsia="仿宋_GB2312"/>
          <w:color w:val="auto"/>
          <w:sz w:val="32"/>
          <w:szCs w:val="32"/>
        </w:rPr>
        <w:t>年公务接待</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批次，6</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人次，</w:t>
      </w:r>
      <w:r>
        <w:rPr>
          <w:rFonts w:hint="eastAsia" w:ascii="仿宋_GB2312" w:hAnsi="仿宋" w:eastAsia="仿宋_GB2312"/>
          <w:sz w:val="32"/>
          <w:szCs w:val="32"/>
        </w:rPr>
        <w:t>预算为</w:t>
      </w:r>
      <w:r>
        <w:rPr>
          <w:rFonts w:hint="eastAsia" w:ascii="仿宋_GB2312" w:hAnsi="仿宋" w:eastAsia="仿宋_GB2312"/>
          <w:sz w:val="32"/>
          <w:szCs w:val="32"/>
          <w:lang w:val="en-US" w:eastAsia="zh-CN"/>
        </w:rPr>
        <w:t>0.3</w:t>
      </w:r>
      <w:r>
        <w:rPr>
          <w:rFonts w:hint="eastAsia" w:ascii="仿宋_GB2312" w:hAnsi="仿宋" w:eastAsia="仿宋_GB2312"/>
          <w:sz w:val="32"/>
          <w:szCs w:val="32"/>
        </w:rPr>
        <w:t>万元，支出决算为0.2</w:t>
      </w:r>
      <w:r>
        <w:rPr>
          <w:rFonts w:ascii="仿宋_GB2312" w:hAnsi="仿宋" w:eastAsia="仿宋_GB2312"/>
          <w:sz w:val="32"/>
          <w:szCs w:val="32"/>
        </w:rPr>
        <w:t>7</w:t>
      </w:r>
      <w:r>
        <w:rPr>
          <w:rFonts w:hint="eastAsia" w:ascii="仿宋_GB2312" w:hAnsi="仿宋" w:eastAsia="仿宋_GB2312"/>
          <w:sz w:val="32"/>
          <w:szCs w:val="32"/>
        </w:rPr>
        <w:t>万元，</w:t>
      </w:r>
      <w:r>
        <w:rPr>
          <w:rFonts w:ascii="仿宋_GB2312" w:hAnsi="宋体" w:eastAsia="仿宋_GB2312" w:cs="仿宋_GB2312"/>
          <w:color w:val="000000"/>
          <w:kern w:val="0"/>
          <w:sz w:val="32"/>
          <w:szCs w:val="32"/>
          <w:lang w:bidi="ar"/>
        </w:rPr>
        <w:t>主要原因</w:t>
      </w:r>
      <w:r>
        <w:rPr>
          <w:rFonts w:hint="eastAsia" w:ascii="仿宋" w:hAnsi="仿宋" w:eastAsia="仿宋"/>
          <w:sz w:val="32"/>
          <w:szCs w:val="32"/>
        </w:rPr>
        <w:t>是主要是严格贯彻落实八项规定,严格控制各项费用</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无此项目支出。</w:t>
      </w:r>
    </w:p>
    <w:p>
      <w:pPr>
        <w:spacing w:line="360" w:lineRule="auto"/>
        <w:ind w:firstLine="643" w:firstLineChars="200"/>
        <w:rPr>
          <w:rFonts w:ascii="楷体_GB2312" w:hAnsi="宋体" w:eastAsia="楷体_GB2312" w:cs="楷体_GB2312"/>
          <w:b/>
          <w:color w:val="auto"/>
          <w:kern w:val="0"/>
          <w:sz w:val="32"/>
          <w:szCs w:val="32"/>
          <w:lang w:bidi="ar"/>
        </w:rPr>
      </w:pPr>
      <w:r>
        <w:rPr>
          <w:rFonts w:hint="eastAsia" w:ascii="楷体_GB2312" w:hAnsi="宋体" w:eastAsia="楷体_GB2312" w:cs="楷体_GB2312"/>
          <w:b/>
          <w:color w:val="auto"/>
          <w:kern w:val="0"/>
          <w:sz w:val="32"/>
          <w:szCs w:val="32"/>
          <w:lang w:bidi="ar"/>
        </w:rPr>
        <w:t>（四）会议费支出情况说明</w:t>
      </w:r>
    </w:p>
    <w:p>
      <w:pPr>
        <w:widowControl/>
        <w:ind w:firstLine="640" w:firstLineChars="200"/>
        <w:jc w:val="left"/>
        <w:rPr>
          <w:rFonts w:ascii="仿宋_GB2312" w:hAnsi="宋体" w:eastAsia="仿宋_GB2312" w:cs="仿宋_GB2312"/>
          <w:color w:val="auto"/>
          <w:kern w:val="0"/>
          <w:sz w:val="32"/>
          <w:szCs w:val="32"/>
          <w:lang w:bidi="ar"/>
        </w:rPr>
      </w:pPr>
      <w:r>
        <w:rPr>
          <w:rFonts w:hint="eastAsia" w:ascii="仿宋_GB2312" w:hAnsi="仿宋" w:eastAsia="仿宋_GB2312"/>
          <w:color w:val="auto"/>
          <w:sz w:val="32"/>
          <w:szCs w:val="32"/>
        </w:rPr>
        <w:t>2020年</w:t>
      </w:r>
      <w:r>
        <w:rPr>
          <w:rFonts w:hint="eastAsia" w:ascii="仿宋_GB2312" w:hAnsi="仿宋_GB2312" w:eastAsia="仿宋_GB2312" w:cs="仿宋_GB2312"/>
          <w:color w:val="auto"/>
          <w:sz w:val="32"/>
          <w:szCs w:val="32"/>
        </w:rPr>
        <w:t>会议费</w:t>
      </w:r>
      <w:r>
        <w:rPr>
          <w:rFonts w:ascii="仿宋_GB2312" w:hAnsi="宋体" w:eastAsia="仿宋_GB2312" w:cs="仿宋_GB2312"/>
          <w:color w:val="auto"/>
          <w:kern w:val="0"/>
          <w:sz w:val="32"/>
          <w:szCs w:val="32"/>
          <w:lang w:bidi="ar"/>
        </w:rPr>
        <w:t>预算为</w:t>
      </w:r>
      <w:r>
        <w:rPr>
          <w:rFonts w:hint="eastAsia" w:ascii="仿宋_GB2312" w:hAnsi="宋体" w:eastAsia="仿宋_GB2312" w:cs="仿宋_GB2312"/>
          <w:color w:val="auto"/>
          <w:kern w:val="0"/>
          <w:sz w:val="32"/>
          <w:szCs w:val="32"/>
          <w:lang w:val="en-US" w:eastAsia="zh-CN" w:bidi="ar"/>
        </w:rPr>
        <w:t>1.2</w:t>
      </w:r>
      <w:r>
        <w:rPr>
          <w:rFonts w:ascii="仿宋_GB2312" w:hAnsi="宋体" w:eastAsia="仿宋_GB2312" w:cs="仿宋_GB2312"/>
          <w:color w:val="auto"/>
          <w:kern w:val="0"/>
          <w:sz w:val="32"/>
          <w:szCs w:val="32"/>
          <w:lang w:bidi="ar"/>
        </w:rPr>
        <w:t>万元，支出决算为0.18万元</w:t>
      </w:r>
      <w:r>
        <w:rPr>
          <w:rFonts w:hint="eastAsia" w:ascii="仿宋_GB2312" w:hAnsi="宋体" w:eastAsia="仿宋_GB2312" w:cs="仿宋_GB2312"/>
          <w:color w:val="auto"/>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numPr>
          <w:ilvl w:val="0"/>
          <w:numId w:val="1"/>
        </w:num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国有资本经营预算财政拨款收入支出情况说明</w:t>
      </w:r>
    </w:p>
    <w:p>
      <w:pPr>
        <w:pStyle w:val="2"/>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本部门无国有资本经营决算拨款收支，并已公开空表。</w:t>
      </w:r>
    </w:p>
    <w:p>
      <w:pPr>
        <w:ind w:firstLine="480" w:firstLineChars="150"/>
        <w:rPr>
          <w:rFonts w:ascii="黑体" w:hAnsi="黑体" w:eastAsia="黑体"/>
          <w:sz w:val="32"/>
          <w:szCs w:val="32"/>
        </w:rPr>
      </w:pPr>
      <w:r>
        <w:rPr>
          <w:rFonts w:hint="eastAsia" w:ascii="黑体" w:hAnsi="黑体" w:eastAsia="黑体"/>
          <w:color w:val="000000"/>
          <w:kern w:val="0"/>
          <w:sz w:val="32"/>
          <w:szCs w:val="32"/>
          <w:lang w:bidi="ar"/>
        </w:rPr>
        <w:t>十、其他重要事项说明</w:t>
      </w:r>
    </w:p>
    <w:p>
      <w:pPr>
        <w:widowControl/>
        <w:ind w:firstLine="472" w:firstLineChars="147"/>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bidi="ar"/>
        </w:rPr>
        <w:t>20</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ascii="仿宋_GB2312" w:hAnsi="宋体" w:eastAsia="仿宋_GB2312" w:cs="仿宋_GB2312"/>
          <w:kern w:val="0"/>
          <w:sz w:val="32"/>
          <w:szCs w:val="32"/>
          <w:lang w:bidi="ar"/>
        </w:rPr>
        <w:t>582.48</w:t>
      </w:r>
      <w:r>
        <w:rPr>
          <w:rFonts w:ascii="仿宋_GB2312" w:hAnsi="宋体" w:eastAsia="仿宋_GB2312" w:cs="仿宋_GB2312"/>
          <w:color w:val="000000"/>
          <w:kern w:val="0"/>
          <w:sz w:val="32"/>
          <w:szCs w:val="32"/>
          <w:lang w:bidi="ar"/>
        </w:rPr>
        <w:t>万元，支出决算为582.48万元，完成预算的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十一、政府采购支出情况说明</w:t>
      </w:r>
    </w:p>
    <w:p>
      <w:pPr>
        <w:widowControl/>
        <w:ind w:firstLine="470" w:firstLineChars="147"/>
        <w:jc w:val="left"/>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年本部门政府采购支出总额共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w:t>
      </w:r>
      <w:r>
        <w:rPr>
          <w:rFonts w:hint="eastAsia" w:ascii="仿宋_GB2312" w:hAnsi="仿宋_GB2312" w:eastAsia="仿宋_GB2312" w:cs="仿宋_GB2312"/>
          <w:color w:val="000000" w:themeColor="text1"/>
          <w:sz w:val="32"/>
          <w:szCs w:val="32"/>
          <w14:textFill>
            <w14:solidFill>
              <w14:schemeClr w14:val="tx1"/>
            </w14:solidFill>
          </w14:textFill>
        </w:rPr>
        <w:t>万元，其中家具用具等共计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万元，电脑打印机等电子设备共计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照相机</w:t>
      </w:r>
      <w:r>
        <w:rPr>
          <w:rFonts w:hint="eastAsia" w:ascii="仿宋_GB2312" w:hAnsi="仿宋_GB2312" w:eastAsia="仿宋_GB2312" w:cs="仿宋_GB2312"/>
          <w:color w:val="000000" w:themeColor="text1"/>
          <w:sz w:val="32"/>
          <w:szCs w:val="32"/>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录音笔</w:t>
      </w:r>
      <w:r>
        <w:rPr>
          <w:rFonts w:hint="eastAsia" w:ascii="仿宋_GB2312" w:hAnsi="仿宋_GB2312" w:eastAsia="仿宋_GB2312" w:cs="仿宋_GB2312"/>
          <w:color w:val="000000" w:themeColor="text1"/>
          <w:sz w:val="32"/>
          <w:szCs w:val="32"/>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1.96万元，移动硬盘共计2.04万元，执法记录仪共计4.1万元。</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十二、国有资产占用及购置情况说明</w:t>
      </w:r>
    </w:p>
    <w:p>
      <w:pPr>
        <w:pStyle w:val="7"/>
        <w:spacing w:line="315" w:lineRule="atLeast"/>
        <w:ind w:firstLine="5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截至2020年12月31日，我单位资产总额（账面净值，下同）</w:t>
      </w:r>
      <w:r>
        <w:rPr>
          <w:rFonts w:hint="eastAsia" w:ascii="仿宋" w:hAnsi="仿宋" w:eastAsia="仿宋" w:cs="仿宋"/>
          <w:color w:val="000000" w:themeColor="text1"/>
          <w:sz w:val="32"/>
          <w:szCs w:val="32"/>
          <w:lang w:val="en-US" w:eastAsia="zh-CN"/>
          <w14:textFill>
            <w14:solidFill>
              <w14:schemeClr w14:val="tx1"/>
            </w14:solidFill>
          </w14:textFill>
        </w:rPr>
        <w:t>374.39057</w:t>
      </w:r>
      <w:r>
        <w:rPr>
          <w:rFonts w:hint="eastAsia" w:ascii="仿宋" w:hAnsi="仿宋" w:eastAsia="仿宋" w:cs="仿宋"/>
          <w:color w:val="000000" w:themeColor="text1"/>
          <w:sz w:val="32"/>
          <w:szCs w:val="32"/>
          <w:shd w:val="clear" w:color="auto" w:fill="FFFFFF"/>
          <w14:textFill>
            <w14:solidFill>
              <w14:schemeClr w14:val="tx1"/>
            </w14:solidFill>
          </w14:textFill>
        </w:rPr>
        <w:t>万元，较上年增长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0.05</w:t>
      </w:r>
      <w:r>
        <w:rPr>
          <w:rFonts w:hint="eastAsia" w:ascii="仿宋" w:hAnsi="仿宋" w:eastAsia="仿宋" w:cs="仿宋"/>
          <w:color w:val="000000" w:themeColor="text1"/>
          <w:sz w:val="32"/>
          <w:szCs w:val="32"/>
          <w:shd w:val="clear" w:color="auto" w:fill="FFFFFF"/>
          <w14:textFill>
            <w14:solidFill>
              <w14:schemeClr w14:val="tx1"/>
            </w14:solidFill>
          </w14:textFill>
        </w:rPr>
        <w:t>%。负债总额</w:t>
      </w:r>
      <w:r>
        <w:rPr>
          <w:rFonts w:hint="eastAsia" w:ascii="仿宋" w:hAnsi="仿宋" w:eastAsia="仿宋" w:cs="仿宋"/>
          <w:color w:val="000000" w:themeColor="text1"/>
          <w:sz w:val="32"/>
          <w:szCs w:val="32"/>
          <w:lang w:val="en-US" w:eastAsia="zh-CN"/>
          <w14:textFill>
            <w14:solidFill>
              <w14:schemeClr w14:val="tx1"/>
            </w14:solidFill>
          </w14:textFill>
        </w:rPr>
        <w:t>2.448342</w:t>
      </w:r>
      <w:r>
        <w:rPr>
          <w:rFonts w:hint="eastAsia" w:ascii="仿宋" w:hAnsi="仿宋" w:eastAsia="仿宋" w:cs="仿宋"/>
          <w:color w:val="000000" w:themeColor="text1"/>
          <w:sz w:val="32"/>
          <w:szCs w:val="32"/>
          <w:shd w:val="clear" w:color="auto" w:fill="FFFFFF"/>
          <w14:textFill>
            <w14:solidFill>
              <w14:schemeClr w14:val="tx1"/>
            </w14:solidFill>
          </w14:textFill>
        </w:rPr>
        <w:t>万元,较上年增长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152</w:t>
      </w:r>
      <w:r>
        <w:rPr>
          <w:rFonts w:hint="eastAsia" w:ascii="仿宋" w:hAnsi="仿宋" w:eastAsia="仿宋" w:cs="仿宋"/>
          <w:color w:val="000000" w:themeColor="text1"/>
          <w:sz w:val="32"/>
          <w:szCs w:val="32"/>
          <w:shd w:val="clear" w:color="auto" w:fill="FFFFFF"/>
          <w14:textFill>
            <w14:solidFill>
              <w14:schemeClr w14:val="tx1"/>
            </w14:solidFill>
          </w14:textFill>
        </w:rPr>
        <w:t>%。净资产</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371.942228</w:t>
      </w:r>
      <w:r>
        <w:rPr>
          <w:rFonts w:hint="eastAsia" w:ascii="仿宋" w:hAnsi="仿宋" w:eastAsia="仿宋" w:cs="仿宋"/>
          <w:color w:val="000000" w:themeColor="text1"/>
          <w:sz w:val="32"/>
          <w:szCs w:val="32"/>
          <w:shd w:val="clear" w:color="auto" w:fill="FFFFFF"/>
          <w14:textFill>
            <w14:solidFill>
              <w14:schemeClr w14:val="tx1"/>
            </w14:solidFill>
          </w14:textFill>
        </w:rPr>
        <w:t>万元。</w:t>
      </w:r>
    </w:p>
    <w:p>
      <w:pPr>
        <w:pStyle w:val="7"/>
        <w:spacing w:line="315" w:lineRule="atLeast"/>
        <w:ind w:firstLine="540"/>
        <w:rPr>
          <w:rFonts w:ascii="仿宋" w:hAnsi="仿宋" w:eastAsia="仿宋" w:cs="仿宋"/>
          <w:sz w:val="32"/>
          <w:szCs w:val="32"/>
        </w:rPr>
      </w:pPr>
      <w:r>
        <w:rPr>
          <w:rStyle w:val="12"/>
          <w:rFonts w:ascii="仿宋" w:hAnsi="仿宋" w:eastAsia="仿宋" w:cs="仿宋"/>
          <w:bCs/>
          <w:color w:val="000000"/>
          <w:sz w:val="32"/>
          <w:szCs w:val="32"/>
          <w:shd w:val="clear" w:color="auto" w:fill="FFFFFF"/>
        </w:rPr>
        <w:t>1</w:t>
      </w:r>
      <w:r>
        <w:rPr>
          <w:rStyle w:val="12"/>
          <w:rFonts w:hint="eastAsia" w:ascii="仿宋" w:hAnsi="仿宋" w:eastAsia="仿宋" w:cs="仿宋"/>
          <w:bCs/>
          <w:color w:val="000000"/>
          <w:sz w:val="32"/>
          <w:szCs w:val="32"/>
          <w:shd w:val="clear" w:color="auto" w:fill="FFFFFF"/>
        </w:rPr>
        <w:t>.资产构成情况。</w:t>
      </w:r>
    </w:p>
    <w:p>
      <w:pPr>
        <w:pStyle w:val="7"/>
        <w:spacing w:line="315" w:lineRule="atLeast"/>
        <w:ind w:firstLine="540"/>
        <w:rPr>
          <w:rFonts w:ascii="仿宋" w:hAnsi="仿宋" w:eastAsia="仿宋" w:cs="仿宋"/>
          <w:color w:val="000000"/>
          <w:sz w:val="32"/>
          <w:szCs w:val="32"/>
          <w:shd w:val="clear" w:color="auto" w:fill="FFFFFF"/>
        </w:rPr>
      </w:pPr>
      <w:r>
        <w:rPr>
          <w:rFonts w:hint="eastAsia" w:ascii="仿宋" w:hAnsi="仿宋" w:eastAsia="仿宋" w:cs="仿宋"/>
          <w:color w:val="000000" w:themeColor="text1"/>
          <w:sz w:val="32"/>
          <w:szCs w:val="32"/>
          <w:shd w:val="clear" w:color="auto" w:fill="FFFFFF"/>
          <w14:textFill>
            <w14:solidFill>
              <w14:schemeClr w14:val="tx1"/>
            </w14:solidFill>
          </w14:textFill>
        </w:rPr>
        <w:t>流动资产</w:t>
      </w:r>
      <w:r>
        <w:rPr>
          <w:rFonts w:hint="eastAsia" w:ascii="仿宋" w:hAnsi="仿宋" w:eastAsia="仿宋" w:cs="仿宋"/>
          <w:color w:val="000000" w:themeColor="text1"/>
          <w:sz w:val="32"/>
          <w:szCs w:val="32"/>
          <w:lang w:val="en-US" w:eastAsia="zh-CN"/>
          <w14:textFill>
            <w14:solidFill>
              <w14:schemeClr w14:val="tx1"/>
            </w14:solidFill>
          </w14:textFill>
        </w:rPr>
        <w:t>151.716249</w:t>
      </w:r>
      <w:r>
        <w:rPr>
          <w:rFonts w:hint="eastAsia" w:ascii="仿宋" w:hAnsi="仿宋" w:eastAsia="仿宋" w:cs="仿宋"/>
          <w:color w:val="000000" w:themeColor="text1"/>
          <w:sz w:val="32"/>
          <w:szCs w:val="32"/>
          <w:shd w:val="clear" w:color="auto" w:fill="FFFFFF"/>
          <w14:textFill>
            <w14:solidFill>
              <w14:schemeClr w14:val="tx1"/>
            </w14:solidFill>
          </w14:textFill>
        </w:rPr>
        <w:t>万元，较上年增长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0.07</w:t>
      </w:r>
      <w:r>
        <w:rPr>
          <w:rFonts w:hint="eastAsia" w:ascii="仿宋" w:hAnsi="仿宋" w:eastAsia="仿宋" w:cs="仿宋"/>
          <w:color w:val="000000" w:themeColor="text1"/>
          <w:sz w:val="32"/>
          <w:szCs w:val="32"/>
          <w:shd w:val="clear" w:color="auto" w:fill="FFFFFF"/>
          <w14:textFill>
            <w14:solidFill>
              <w14:schemeClr w14:val="tx1"/>
            </w14:solidFill>
          </w14:textFill>
        </w:rPr>
        <w:t>%，占资产总额</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40.52</w:t>
      </w:r>
      <w:r>
        <w:rPr>
          <w:rFonts w:hint="eastAsia" w:ascii="仿宋" w:hAnsi="仿宋" w:eastAsia="仿宋" w:cs="仿宋"/>
          <w:color w:val="000000" w:themeColor="text1"/>
          <w:sz w:val="32"/>
          <w:szCs w:val="32"/>
          <w:shd w:val="clear" w:color="auto" w:fill="FFFFFF"/>
          <w14:textFill>
            <w14:solidFill>
              <w14:schemeClr w14:val="tx1"/>
            </w14:solidFill>
          </w14:textFill>
        </w:rPr>
        <w:t>%；固定资产</w:t>
      </w:r>
      <w:r>
        <w:rPr>
          <w:rFonts w:ascii="仿宋" w:hAnsi="仿宋" w:eastAsia="仿宋" w:cs="仿宋"/>
          <w:color w:val="000000" w:themeColor="text1"/>
          <w:sz w:val="32"/>
          <w:szCs w:val="32"/>
          <w:shd w:val="clear" w:color="auto" w:fill="FFFFFF"/>
          <w14:textFill>
            <w14:solidFill>
              <w14:schemeClr w14:val="tx1"/>
            </w14:solidFill>
          </w14:textFill>
        </w:rPr>
        <w:t>222.67</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4321</w:t>
      </w:r>
      <w:r>
        <w:rPr>
          <w:rFonts w:hint="eastAsia" w:ascii="仿宋" w:hAnsi="仿宋" w:eastAsia="仿宋" w:cs="仿宋"/>
          <w:color w:val="000000" w:themeColor="text1"/>
          <w:sz w:val="32"/>
          <w:szCs w:val="32"/>
          <w:shd w:val="clear" w:color="auto" w:fill="FFFFFF"/>
          <w14:textFill>
            <w14:solidFill>
              <w14:schemeClr w14:val="tx1"/>
            </w14:solidFill>
          </w14:textFill>
        </w:rPr>
        <w:t>万元，较上年增长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0.039</w:t>
      </w:r>
      <w:r>
        <w:rPr>
          <w:rFonts w:hint="eastAsia" w:ascii="仿宋" w:hAnsi="仿宋" w:eastAsia="仿宋" w:cs="仿宋"/>
          <w:color w:val="000000" w:themeColor="text1"/>
          <w:sz w:val="32"/>
          <w:szCs w:val="32"/>
          <w:shd w:val="clear" w:color="auto" w:fill="FFFFFF"/>
          <w14:textFill>
            <w14:solidFill>
              <w14:schemeClr w14:val="tx1"/>
            </w14:solidFill>
          </w14:textFill>
        </w:rPr>
        <w:t>%，占资产总额</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59.47</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sz w:val="32"/>
          <w:szCs w:val="32"/>
          <w:shd w:val="clear" w:color="auto" w:fill="FFFFFF"/>
        </w:rPr>
        <w:t>在建工程0万元，较上年增长%，占资产总额0.00%；长期投资</w:t>
      </w:r>
      <w:r>
        <w:rPr>
          <w:rFonts w:hint="eastAsia" w:ascii="仿宋" w:hAnsi="仿宋" w:eastAsia="仿宋" w:cs="仿宋"/>
          <w:sz w:val="32"/>
          <w:szCs w:val="32"/>
        </w:rPr>
        <w:t>0</w:t>
      </w:r>
      <w:r>
        <w:rPr>
          <w:rFonts w:hint="eastAsia" w:ascii="仿宋" w:hAnsi="仿宋" w:eastAsia="仿宋" w:cs="仿宋"/>
          <w:color w:val="000000"/>
          <w:sz w:val="32"/>
          <w:szCs w:val="32"/>
          <w:shd w:val="clear" w:color="auto" w:fill="FFFFFF"/>
        </w:rPr>
        <w:t>万元，占资产总额0.00%；无形资产累计摊销财务账面余额0.00元，国有资产管理系统总账查询余额0.00元，相差0.00元；</w:t>
      </w:r>
      <w:r>
        <w:rPr>
          <w:rFonts w:hint="eastAsia" w:ascii="仿宋" w:hAnsi="仿宋" w:eastAsia="仿宋" w:cs="仿宋"/>
          <w:sz w:val="32"/>
          <w:szCs w:val="32"/>
          <w:shd w:val="clear" w:color="auto" w:fill="FFFFFF"/>
        </w:rPr>
        <w:t>公共基础设施0万元，占资产总额0.00%</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shd w:val="clear" w:color="auto" w:fill="FFFFFF"/>
        </w:rPr>
        <w:t>政府储备物资0万元，占资产总额</w:t>
      </w:r>
      <w:r>
        <w:rPr>
          <w:rFonts w:hint="eastAsia" w:ascii="仿宋" w:hAnsi="仿宋" w:eastAsia="仿宋" w:cs="仿宋"/>
          <w:sz w:val="32"/>
          <w:szCs w:val="32"/>
        </w:rPr>
        <w:t>0.00</w:t>
      </w:r>
      <w:r>
        <w:rPr>
          <w:rFonts w:hint="eastAsia" w:ascii="仿宋" w:hAnsi="仿宋" w:eastAsia="仿宋" w:cs="仿宋"/>
          <w:sz w:val="32"/>
          <w:szCs w:val="32"/>
          <w:shd w:val="clear" w:color="auto" w:fill="FFFFFF"/>
        </w:rPr>
        <w:t>%</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shd w:val="clear" w:color="auto" w:fill="FFFFFF"/>
        </w:rPr>
        <w:t>文物文化资产</w:t>
      </w:r>
      <w:r>
        <w:rPr>
          <w:rFonts w:hint="eastAsia" w:ascii="仿宋" w:hAnsi="仿宋" w:eastAsia="仿宋" w:cs="仿宋"/>
          <w:sz w:val="32"/>
          <w:szCs w:val="32"/>
        </w:rPr>
        <w:t>0</w:t>
      </w:r>
      <w:r>
        <w:rPr>
          <w:rFonts w:hint="eastAsia" w:ascii="仿宋" w:hAnsi="仿宋" w:eastAsia="仿宋" w:cs="仿宋"/>
          <w:sz w:val="32"/>
          <w:szCs w:val="32"/>
          <w:shd w:val="clear" w:color="auto" w:fill="FFFFFF"/>
        </w:rPr>
        <w:t>万元，占资产总额</w:t>
      </w:r>
      <w:r>
        <w:rPr>
          <w:rFonts w:hint="eastAsia" w:ascii="仿宋" w:hAnsi="仿宋" w:eastAsia="仿宋" w:cs="仿宋"/>
          <w:sz w:val="32"/>
          <w:szCs w:val="32"/>
        </w:rPr>
        <w:t>0.00</w:t>
      </w:r>
      <w:r>
        <w:rPr>
          <w:rFonts w:hint="eastAsia" w:ascii="仿宋" w:hAnsi="仿宋" w:eastAsia="仿宋" w:cs="仿宋"/>
          <w:sz w:val="32"/>
          <w:szCs w:val="32"/>
          <w:shd w:val="clear" w:color="auto" w:fill="FFFFFF"/>
        </w:rPr>
        <w:t>%</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shd w:val="clear" w:color="auto" w:fill="FFFFFF"/>
        </w:rPr>
        <w:t>保障性住房0万元，占资产总额</w:t>
      </w:r>
      <w:r>
        <w:rPr>
          <w:rFonts w:hint="eastAsia" w:ascii="仿宋" w:hAnsi="仿宋" w:eastAsia="仿宋" w:cs="仿宋"/>
          <w:sz w:val="32"/>
          <w:szCs w:val="32"/>
        </w:rPr>
        <w:t>0.00</w:t>
      </w:r>
      <w:r>
        <w:rPr>
          <w:rFonts w:hint="eastAsia" w:ascii="仿宋" w:hAnsi="仿宋" w:eastAsia="仿宋" w:cs="仿宋"/>
          <w:sz w:val="32"/>
          <w:szCs w:val="32"/>
          <w:shd w:val="clear" w:color="auto" w:fill="FFFFFF"/>
        </w:rPr>
        <w:t>%。</w:t>
      </w:r>
    </w:p>
    <w:p>
      <w:pPr>
        <w:pStyle w:val="7"/>
        <w:spacing w:line="315" w:lineRule="atLeast"/>
        <w:ind w:firstLine="540"/>
        <w:rPr>
          <w:rFonts w:ascii="仿宋" w:hAnsi="仿宋" w:eastAsia="仿宋" w:cs="仿宋"/>
          <w:sz w:val="32"/>
          <w:szCs w:val="32"/>
        </w:rPr>
      </w:pPr>
      <w:r>
        <w:rPr>
          <w:rStyle w:val="12"/>
          <w:rFonts w:ascii="仿宋" w:hAnsi="仿宋" w:eastAsia="仿宋" w:cs="仿宋"/>
          <w:bCs/>
          <w:color w:val="000000"/>
          <w:sz w:val="32"/>
          <w:szCs w:val="32"/>
          <w:shd w:val="clear" w:color="auto" w:fill="FFFFFF"/>
        </w:rPr>
        <w:t>2</w:t>
      </w:r>
      <w:r>
        <w:rPr>
          <w:rStyle w:val="12"/>
          <w:rFonts w:hint="eastAsia" w:ascii="仿宋" w:hAnsi="仿宋" w:eastAsia="仿宋" w:cs="仿宋"/>
          <w:bCs/>
          <w:color w:val="000000"/>
          <w:sz w:val="32"/>
          <w:szCs w:val="32"/>
          <w:shd w:val="clear" w:color="auto" w:fill="FFFFFF"/>
        </w:rPr>
        <w:t>.固定资产构成情况。</w:t>
      </w:r>
    </w:p>
    <w:p>
      <w:pPr>
        <w:pStyle w:val="7"/>
        <w:spacing w:line="315" w:lineRule="atLeast"/>
        <w:ind w:firstLine="540"/>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457200</wp:posOffset>
            </wp:positionH>
            <wp:positionV relativeFrom="paragraph">
              <wp:posOffset>1325880</wp:posOffset>
            </wp:positionV>
            <wp:extent cx="5486400" cy="3249930"/>
            <wp:effectExtent l="0" t="19050" r="0" b="76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color w:val="000000"/>
          <w:sz w:val="32"/>
          <w:szCs w:val="32"/>
          <w:shd w:val="clear" w:color="auto" w:fill="FFFFFF"/>
        </w:rPr>
        <w:t>我部门国有资产原值</w:t>
      </w:r>
      <w:r>
        <w:rPr>
          <w:rFonts w:ascii="仿宋" w:hAnsi="仿宋" w:eastAsia="仿宋" w:cs="仿宋"/>
          <w:color w:val="000000"/>
          <w:sz w:val="32"/>
          <w:szCs w:val="32"/>
          <w:shd w:val="clear" w:color="auto" w:fill="FFFFFF"/>
        </w:rPr>
        <w:t>550.</w:t>
      </w:r>
      <w:r>
        <w:rPr>
          <w:rFonts w:hint="eastAsia" w:ascii="仿宋" w:hAnsi="仿宋" w:eastAsia="仿宋" w:cs="仿宋"/>
          <w:color w:val="000000"/>
          <w:sz w:val="32"/>
          <w:szCs w:val="32"/>
          <w:shd w:val="clear" w:color="auto" w:fill="FFFFFF"/>
          <w:lang w:val="en-US" w:eastAsia="zh-CN"/>
        </w:rPr>
        <w:t>79</w:t>
      </w:r>
      <w:r>
        <w:rPr>
          <w:rFonts w:hint="eastAsia" w:ascii="仿宋" w:hAnsi="仿宋" w:eastAsia="仿宋" w:cs="仿宋"/>
          <w:color w:val="000000"/>
          <w:sz w:val="32"/>
          <w:szCs w:val="32"/>
          <w:shd w:val="clear" w:color="auto" w:fill="FFFFFF"/>
        </w:rPr>
        <w:t>万元，净值2</w:t>
      </w:r>
      <w:r>
        <w:rPr>
          <w:rFonts w:ascii="仿宋" w:hAnsi="仿宋" w:eastAsia="仿宋" w:cs="仿宋"/>
          <w:color w:val="000000"/>
          <w:sz w:val="32"/>
          <w:szCs w:val="32"/>
          <w:shd w:val="clear" w:color="auto" w:fill="FFFFFF"/>
        </w:rPr>
        <w:t>22.67</w:t>
      </w:r>
      <w:r>
        <w:rPr>
          <w:rFonts w:hint="eastAsia" w:ascii="仿宋" w:hAnsi="仿宋" w:eastAsia="仿宋" w:cs="仿宋"/>
          <w:color w:val="000000"/>
          <w:sz w:val="32"/>
          <w:szCs w:val="32"/>
          <w:shd w:val="clear" w:color="auto" w:fill="FFFFFF"/>
        </w:rPr>
        <w:t>万元。其中通用设备</w:t>
      </w:r>
      <w:r>
        <w:rPr>
          <w:rFonts w:hint="eastAsia" w:ascii="仿宋" w:hAnsi="仿宋" w:eastAsia="仿宋" w:cs="仿宋"/>
          <w:color w:val="000000"/>
          <w:sz w:val="32"/>
          <w:szCs w:val="32"/>
          <w:shd w:val="clear" w:color="auto" w:fill="FFFFFF"/>
          <w:lang w:val="en-US" w:eastAsia="zh-CN"/>
        </w:rPr>
        <w:t>150.75</w:t>
      </w:r>
      <w:r>
        <w:rPr>
          <w:rFonts w:hint="eastAsia" w:ascii="仿宋" w:hAnsi="仿宋" w:eastAsia="仿宋" w:cs="仿宋"/>
          <w:color w:val="000000"/>
          <w:sz w:val="32"/>
          <w:szCs w:val="32"/>
          <w:shd w:val="clear" w:color="auto" w:fill="FFFFFF"/>
        </w:rPr>
        <w:t>万元，占总资产的</w:t>
      </w:r>
      <w:r>
        <w:rPr>
          <w:rFonts w:hint="eastAsia" w:ascii="仿宋" w:hAnsi="仿宋" w:eastAsia="仿宋" w:cs="仿宋"/>
          <w:color w:val="000000"/>
          <w:sz w:val="32"/>
          <w:szCs w:val="32"/>
          <w:shd w:val="clear" w:color="auto" w:fill="FFFFFF"/>
          <w:lang w:val="en-US" w:eastAsia="zh-CN"/>
        </w:rPr>
        <w:t>70</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；专用设备</w:t>
      </w:r>
      <w:r>
        <w:rPr>
          <w:rFonts w:hint="eastAsia" w:ascii="仿宋" w:hAnsi="仿宋" w:eastAsia="仿宋" w:cs="仿宋"/>
          <w:color w:val="000000"/>
          <w:sz w:val="32"/>
          <w:szCs w:val="32"/>
          <w:shd w:val="clear" w:color="auto" w:fill="FFFFFF"/>
          <w:lang w:val="en-US" w:eastAsia="zh-CN"/>
        </w:rPr>
        <w:t>1.67</w:t>
      </w:r>
      <w:r>
        <w:rPr>
          <w:rFonts w:hint="eastAsia" w:ascii="仿宋" w:hAnsi="仿宋" w:eastAsia="仿宋" w:cs="仿宋"/>
          <w:color w:val="000000"/>
          <w:sz w:val="32"/>
          <w:szCs w:val="32"/>
          <w:shd w:val="clear" w:color="auto" w:fill="FFFFFF"/>
        </w:rPr>
        <w:t>万元，占总资产的</w:t>
      </w:r>
      <w:r>
        <w:rPr>
          <w:rFonts w:hint="eastAsia" w:ascii="仿宋" w:hAnsi="仿宋" w:eastAsia="仿宋" w:cs="仿宋"/>
          <w:color w:val="000000"/>
          <w:sz w:val="32"/>
          <w:szCs w:val="32"/>
          <w:shd w:val="clear" w:color="auto" w:fill="FFFFFF"/>
          <w:lang w:val="en-US" w:eastAsia="zh-CN"/>
        </w:rPr>
        <w:t>1</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；家具、用具、装具及动植物</w:t>
      </w:r>
      <w:r>
        <w:rPr>
          <w:rFonts w:hint="eastAsia" w:ascii="仿宋" w:hAnsi="仿宋" w:eastAsia="仿宋" w:cs="仿宋"/>
          <w:color w:val="000000"/>
          <w:sz w:val="32"/>
          <w:szCs w:val="32"/>
          <w:shd w:val="clear" w:color="auto" w:fill="FFFFFF"/>
          <w:lang w:val="en-US" w:eastAsia="zh-CN"/>
        </w:rPr>
        <w:t>62.41</w:t>
      </w:r>
      <w:r>
        <w:rPr>
          <w:rFonts w:hint="eastAsia" w:ascii="仿宋" w:hAnsi="仿宋" w:eastAsia="仿宋" w:cs="仿宋"/>
          <w:color w:val="000000"/>
          <w:sz w:val="32"/>
          <w:szCs w:val="32"/>
          <w:shd w:val="clear" w:color="auto" w:fill="FFFFFF"/>
        </w:rPr>
        <w:t>万元，占总资产的</w:t>
      </w:r>
      <w:r>
        <w:rPr>
          <w:rFonts w:hint="eastAsia" w:ascii="仿宋" w:hAnsi="仿宋" w:eastAsia="仿宋" w:cs="仿宋"/>
          <w:color w:val="000000"/>
          <w:sz w:val="32"/>
          <w:szCs w:val="32"/>
          <w:shd w:val="clear" w:color="auto" w:fill="FFFFFF"/>
          <w:lang w:val="en-US" w:eastAsia="zh-CN"/>
        </w:rPr>
        <w:t>29</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w:t>
      </w:r>
    </w:p>
    <w:p>
      <w:pPr>
        <w:pStyle w:val="7"/>
        <w:spacing w:line="315" w:lineRule="atLeast"/>
        <w:ind w:firstLine="540"/>
        <w:rPr>
          <w:rFonts w:ascii="仿宋" w:hAnsi="仿宋" w:eastAsia="仿宋" w:cs="仿宋"/>
          <w:color w:val="FF0000"/>
          <w:sz w:val="32"/>
          <w:szCs w:val="32"/>
          <w:shd w:val="clear" w:color="auto" w:fill="FFFFFF"/>
        </w:rPr>
      </w:pPr>
    </w:p>
    <w:p>
      <w:pPr>
        <w:pStyle w:val="7"/>
        <w:spacing w:line="315" w:lineRule="atLeast"/>
        <w:ind w:firstLine="540"/>
        <w:rPr>
          <w:rFonts w:ascii="仿宋" w:hAnsi="仿宋" w:eastAsia="仿宋" w:cs="仿宋"/>
          <w:color w:val="FF0000"/>
          <w:sz w:val="32"/>
          <w:szCs w:val="32"/>
          <w:shd w:val="clear" w:color="auto" w:fill="FFFFFF"/>
        </w:rPr>
      </w:pPr>
    </w:p>
    <w:p>
      <w:pPr>
        <w:pStyle w:val="7"/>
        <w:spacing w:line="315" w:lineRule="atLeast"/>
        <w:ind w:firstLine="540"/>
        <w:rPr>
          <w:rFonts w:ascii="仿宋" w:hAnsi="仿宋" w:eastAsia="仿宋" w:cs="仿宋"/>
          <w:color w:val="FF0000"/>
          <w:sz w:val="32"/>
          <w:szCs w:val="32"/>
          <w:shd w:val="clear" w:color="auto" w:fill="FFFFFF"/>
        </w:rPr>
      </w:pPr>
    </w:p>
    <w:p>
      <w:pPr>
        <w:pStyle w:val="7"/>
        <w:spacing w:line="315" w:lineRule="atLeast"/>
        <w:ind w:firstLine="540"/>
        <w:rPr>
          <w:rFonts w:ascii="仿宋" w:hAnsi="仿宋" w:eastAsia="仿宋" w:cs="仿宋"/>
          <w:color w:val="FF0000"/>
          <w:sz w:val="32"/>
          <w:szCs w:val="32"/>
          <w:shd w:val="clear" w:color="auto" w:fill="FFFFFF"/>
        </w:rPr>
      </w:pPr>
    </w:p>
    <w:p>
      <w:pPr>
        <w:pStyle w:val="7"/>
        <w:spacing w:line="315" w:lineRule="atLeast"/>
        <w:ind w:firstLine="540"/>
        <w:rPr>
          <w:rFonts w:ascii="仿宋" w:hAnsi="仿宋" w:eastAsia="仿宋" w:cs="仿宋"/>
          <w:color w:val="FF0000"/>
          <w:sz w:val="32"/>
          <w:szCs w:val="32"/>
          <w:shd w:val="clear" w:color="auto" w:fill="FFFFFF"/>
        </w:rPr>
      </w:pPr>
    </w:p>
    <w:p>
      <w:pPr>
        <w:pStyle w:val="7"/>
        <w:spacing w:line="315" w:lineRule="atLeast"/>
        <w:ind w:firstLine="540"/>
        <w:rPr>
          <w:rFonts w:ascii="仿宋" w:hAnsi="仿宋" w:eastAsia="仿宋" w:cs="仿宋"/>
          <w:color w:val="FF0000"/>
          <w:sz w:val="32"/>
          <w:szCs w:val="32"/>
          <w:shd w:val="clear" w:color="auto" w:fill="FFFFFF"/>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3" w:firstLineChars="200"/>
        <w:rPr>
          <w:rFonts w:ascii="仿宋_GB2312" w:hAnsi="宋体" w:eastAsia="仿宋_GB2312"/>
          <w:bCs/>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pStyle w:val="2"/>
      </w:pPr>
      <w:r>
        <w:rPr>
          <w:rFonts w:hint="eastAsia" w:ascii="仿宋" w:hAnsi="仿宋" w:eastAsia="仿宋" w:cs="仿宋"/>
          <w:color w:val="000000"/>
          <w:kern w:val="0"/>
          <w:sz w:val="31"/>
          <w:szCs w:val="31"/>
          <w:lang w:bidi="ar"/>
        </w:rPr>
        <w:t xml:space="preserve">   </w:t>
      </w:r>
    </w:p>
    <w:p>
      <w:pPr>
        <w:pStyle w:val="2"/>
      </w:pPr>
    </w:p>
    <w:sectPr>
      <w:footerReference r:id="rId3" w:type="default"/>
      <w:pgSz w:w="11906" w:h="16838"/>
      <w:pgMar w:top="1985" w:right="907" w:bottom="1985" w:left="1020"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sdtPr>
    <w:sdtContent>
      <w:p>
        <w:pPr>
          <w:pStyle w:val="5"/>
          <w:jc w:val="center"/>
        </w:pPr>
        <w:r>
          <w:fldChar w:fldCharType="begin"/>
        </w:r>
        <w:r>
          <w:instrText xml:space="preserve">PAGE   \* MERGEFORMAT</w:instrText>
        </w:r>
        <w:r>
          <w:fldChar w:fldCharType="separate"/>
        </w:r>
        <w:r>
          <w:rPr>
            <w:lang w:val="zh-CN"/>
          </w:rPr>
          <w:t>18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17C7E"/>
    <w:multiLevelType w:val="singleLevel"/>
    <w:tmpl w:val="43B17C7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90C7B"/>
    <w:rsid w:val="000D67B1"/>
    <w:rsid w:val="000F601D"/>
    <w:rsid w:val="001072E1"/>
    <w:rsid w:val="00135F65"/>
    <w:rsid w:val="00146787"/>
    <w:rsid w:val="00164001"/>
    <w:rsid w:val="00166E3C"/>
    <w:rsid w:val="001B3406"/>
    <w:rsid w:val="001D7568"/>
    <w:rsid w:val="0020729C"/>
    <w:rsid w:val="002424C8"/>
    <w:rsid w:val="00283CB6"/>
    <w:rsid w:val="0029710E"/>
    <w:rsid w:val="002A7893"/>
    <w:rsid w:val="003364E9"/>
    <w:rsid w:val="00370F54"/>
    <w:rsid w:val="003D4DA0"/>
    <w:rsid w:val="00411A30"/>
    <w:rsid w:val="00427EC1"/>
    <w:rsid w:val="00452E2E"/>
    <w:rsid w:val="004B6D6E"/>
    <w:rsid w:val="004C0786"/>
    <w:rsid w:val="004D6C84"/>
    <w:rsid w:val="00504B80"/>
    <w:rsid w:val="00520601"/>
    <w:rsid w:val="00544D2E"/>
    <w:rsid w:val="00551931"/>
    <w:rsid w:val="00562EAC"/>
    <w:rsid w:val="0058645B"/>
    <w:rsid w:val="005F0D12"/>
    <w:rsid w:val="00603266"/>
    <w:rsid w:val="00612C6A"/>
    <w:rsid w:val="00615F33"/>
    <w:rsid w:val="00637D82"/>
    <w:rsid w:val="00687451"/>
    <w:rsid w:val="00790D32"/>
    <w:rsid w:val="007A115D"/>
    <w:rsid w:val="008015FE"/>
    <w:rsid w:val="00813F4A"/>
    <w:rsid w:val="00820330"/>
    <w:rsid w:val="00835BB2"/>
    <w:rsid w:val="008432CE"/>
    <w:rsid w:val="00852CC1"/>
    <w:rsid w:val="008746EC"/>
    <w:rsid w:val="008B28BD"/>
    <w:rsid w:val="008D481B"/>
    <w:rsid w:val="00930BE6"/>
    <w:rsid w:val="00961F0B"/>
    <w:rsid w:val="0096201F"/>
    <w:rsid w:val="009623CF"/>
    <w:rsid w:val="009964CA"/>
    <w:rsid w:val="009C0506"/>
    <w:rsid w:val="009E4722"/>
    <w:rsid w:val="00A1587D"/>
    <w:rsid w:val="00A27638"/>
    <w:rsid w:val="00A3603C"/>
    <w:rsid w:val="00A42826"/>
    <w:rsid w:val="00A75DF1"/>
    <w:rsid w:val="00AB4A0E"/>
    <w:rsid w:val="00B37EA8"/>
    <w:rsid w:val="00B80654"/>
    <w:rsid w:val="00C2225D"/>
    <w:rsid w:val="00C24CD4"/>
    <w:rsid w:val="00C44E49"/>
    <w:rsid w:val="00C94B80"/>
    <w:rsid w:val="00CA04B3"/>
    <w:rsid w:val="00CC029C"/>
    <w:rsid w:val="00D010C6"/>
    <w:rsid w:val="00D47E03"/>
    <w:rsid w:val="00D711E1"/>
    <w:rsid w:val="00D867CE"/>
    <w:rsid w:val="00DE379A"/>
    <w:rsid w:val="00E8111E"/>
    <w:rsid w:val="00E901F7"/>
    <w:rsid w:val="00EC0B1D"/>
    <w:rsid w:val="00F1197A"/>
    <w:rsid w:val="00F61B04"/>
    <w:rsid w:val="00FB12D1"/>
    <w:rsid w:val="013B79AC"/>
    <w:rsid w:val="01A563A7"/>
    <w:rsid w:val="091D3467"/>
    <w:rsid w:val="09D50C96"/>
    <w:rsid w:val="09D60A68"/>
    <w:rsid w:val="0A7336EA"/>
    <w:rsid w:val="0CAD4D54"/>
    <w:rsid w:val="0D77128F"/>
    <w:rsid w:val="0DB35209"/>
    <w:rsid w:val="0F8E3303"/>
    <w:rsid w:val="0FFF4EDD"/>
    <w:rsid w:val="11AE3598"/>
    <w:rsid w:val="125E2600"/>
    <w:rsid w:val="132E46A0"/>
    <w:rsid w:val="14411117"/>
    <w:rsid w:val="15063224"/>
    <w:rsid w:val="1586116E"/>
    <w:rsid w:val="161877B1"/>
    <w:rsid w:val="17420B70"/>
    <w:rsid w:val="18BB4AD7"/>
    <w:rsid w:val="19BF11AC"/>
    <w:rsid w:val="1AA658F5"/>
    <w:rsid w:val="1B4A3FDA"/>
    <w:rsid w:val="1B524C98"/>
    <w:rsid w:val="1C5E2F73"/>
    <w:rsid w:val="1D6E0C0D"/>
    <w:rsid w:val="1E257E97"/>
    <w:rsid w:val="1F9223C7"/>
    <w:rsid w:val="1FF07EA6"/>
    <w:rsid w:val="221C15BB"/>
    <w:rsid w:val="22347354"/>
    <w:rsid w:val="29785A6B"/>
    <w:rsid w:val="2A133206"/>
    <w:rsid w:val="2A1B6D8C"/>
    <w:rsid w:val="2AD41A12"/>
    <w:rsid w:val="2AF22026"/>
    <w:rsid w:val="2B291AC2"/>
    <w:rsid w:val="2BBE45A4"/>
    <w:rsid w:val="2D1F3974"/>
    <w:rsid w:val="2D3645C1"/>
    <w:rsid w:val="2D8C440A"/>
    <w:rsid w:val="2EBE5169"/>
    <w:rsid w:val="2EED24BA"/>
    <w:rsid w:val="30A369C3"/>
    <w:rsid w:val="31AA6038"/>
    <w:rsid w:val="33887EE3"/>
    <w:rsid w:val="34677C61"/>
    <w:rsid w:val="35506EA1"/>
    <w:rsid w:val="3B121AD1"/>
    <w:rsid w:val="3C7A3309"/>
    <w:rsid w:val="3CFD0D2E"/>
    <w:rsid w:val="40AB4836"/>
    <w:rsid w:val="40D60A5D"/>
    <w:rsid w:val="41603979"/>
    <w:rsid w:val="41972823"/>
    <w:rsid w:val="436D248E"/>
    <w:rsid w:val="43E35EC6"/>
    <w:rsid w:val="4619368A"/>
    <w:rsid w:val="46B91B95"/>
    <w:rsid w:val="495A47C9"/>
    <w:rsid w:val="4A4B4C37"/>
    <w:rsid w:val="4D6E0FDF"/>
    <w:rsid w:val="4D947715"/>
    <w:rsid w:val="4DA57FE3"/>
    <w:rsid w:val="4EA76310"/>
    <w:rsid w:val="4EE4307A"/>
    <w:rsid w:val="4F6F25BE"/>
    <w:rsid w:val="5153143F"/>
    <w:rsid w:val="5219026C"/>
    <w:rsid w:val="52336B9F"/>
    <w:rsid w:val="52E350F4"/>
    <w:rsid w:val="54F12DEE"/>
    <w:rsid w:val="55435685"/>
    <w:rsid w:val="577E18EF"/>
    <w:rsid w:val="5AFE48BB"/>
    <w:rsid w:val="5D5A5F5C"/>
    <w:rsid w:val="5E22410B"/>
    <w:rsid w:val="61BC319F"/>
    <w:rsid w:val="635060E1"/>
    <w:rsid w:val="654235D5"/>
    <w:rsid w:val="66003EF7"/>
    <w:rsid w:val="66552DCC"/>
    <w:rsid w:val="697726DA"/>
    <w:rsid w:val="6B535545"/>
    <w:rsid w:val="6C0A6199"/>
    <w:rsid w:val="6E69533E"/>
    <w:rsid w:val="717B5FC3"/>
    <w:rsid w:val="74166A92"/>
    <w:rsid w:val="74F2478D"/>
    <w:rsid w:val="75C31473"/>
    <w:rsid w:val="76663B48"/>
    <w:rsid w:val="78186D50"/>
    <w:rsid w:val="78465D5C"/>
    <w:rsid w:val="7AA0540A"/>
    <w:rsid w:val="7B79448E"/>
    <w:rsid w:val="7C3E5E46"/>
    <w:rsid w:val="7D457303"/>
    <w:rsid w:val="7DC6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批注文字 字符"/>
    <w:basedOn w:val="11"/>
    <w:link w:val="3"/>
    <w:qFormat/>
    <w:uiPriority w:val="0"/>
    <w:rPr>
      <w:rFonts w:ascii="Calibri" w:hAnsi="Calibri" w:cs="黑体"/>
      <w:kern w:val="2"/>
      <w:sz w:val="21"/>
      <w:szCs w:val="24"/>
    </w:rPr>
  </w:style>
  <w:style w:type="character" w:customStyle="1" w:styleId="15">
    <w:name w:val="批注主题 字符"/>
    <w:basedOn w:val="14"/>
    <w:link w:val="8"/>
    <w:qFormat/>
    <w:uiPriority w:val="0"/>
    <w:rPr>
      <w:rFonts w:ascii="Calibri" w:hAnsi="Calibri" w:cs="黑体"/>
      <w:b/>
      <w:bCs/>
      <w:kern w:val="2"/>
      <w:sz w:val="21"/>
      <w:szCs w:val="24"/>
    </w:rPr>
  </w:style>
  <w:style w:type="character" w:customStyle="1" w:styleId="16">
    <w:name w:val="批注框文本 字符"/>
    <w:basedOn w:val="11"/>
    <w:link w:val="4"/>
    <w:qFormat/>
    <w:uiPriority w:val="0"/>
    <w:rPr>
      <w:rFonts w:ascii="Calibri" w:hAnsi="Calibri" w:cs="黑体"/>
      <w:kern w:val="2"/>
      <w:sz w:val="18"/>
      <w:szCs w:val="18"/>
    </w:rPr>
  </w:style>
  <w:style w:type="character" w:customStyle="1" w:styleId="17">
    <w:name w:val="页眉 字符"/>
    <w:basedOn w:val="11"/>
    <w:link w:val="6"/>
    <w:qFormat/>
    <w:uiPriority w:val="99"/>
    <w:rPr>
      <w:rFonts w:ascii="Calibri" w:hAnsi="Calibri" w:cs="黑体"/>
      <w:kern w:val="2"/>
      <w:sz w:val="18"/>
      <w:szCs w:val="24"/>
    </w:rPr>
  </w:style>
  <w:style w:type="character" w:customStyle="1" w:styleId="18">
    <w:name w:val="页脚 字符"/>
    <w:basedOn w:val="11"/>
    <w:link w:val="5"/>
    <w:qFormat/>
    <w:uiPriority w:val="99"/>
    <w:rPr>
      <w:rFonts w:ascii="Calibri" w:hAnsi="Calibri" w:cs="黑体"/>
      <w:kern w:val="2"/>
      <w:sz w:val="18"/>
      <w:szCs w:val="24"/>
    </w:rPr>
  </w:style>
  <w:style w:type="character" w:customStyle="1" w:styleId="19">
    <w:name w:val="font5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p>
      </c:txPr>
    </c:title>
    <c:autoTitleDeleted val="0"/>
    <c:plotArea>
      <c:layout>
        <c:manualLayout>
          <c:layoutTarget val="inner"/>
          <c:xMode val="edge"/>
          <c:yMode val="edge"/>
          <c:x val="0.320225831146107"/>
          <c:y val="0.292857142857143"/>
          <c:w val="0.410474263633712"/>
          <c:h val="0.703670166229221"/>
        </c:manualLayout>
      </c:layout>
      <c:pieChart>
        <c:varyColors val="1"/>
        <c:ser>
          <c:idx val="0"/>
          <c:order val="0"/>
          <c:tx>
            <c:strRef>
              <c:f>Sheet1!$B$1</c:f>
              <c:strCache>
                <c:ptCount val="1"/>
                <c:pt idx="0">
                  <c:v>人员情况构成</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行政编制46人</c:v>
                </c:pt>
                <c:pt idx="1">
                  <c:v>事业编制17人</c:v>
                </c:pt>
              </c:strCache>
            </c:strRef>
          </c:cat>
          <c:val>
            <c:numRef>
              <c:f>Sheet1!$B$2:$B$5</c:f>
              <c:numCache>
                <c:formatCode>General</c:formatCode>
                <c:ptCount val="4"/>
                <c:pt idx="0">
                  <c:v>46</c:v>
                </c:pt>
                <c:pt idx="1">
                  <c:v>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30165989525282"/>
          <c:y val="0.19814506359782"/>
          <c:w val="0.436000351554229"/>
          <c:h val="0.077267024314268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绥德县司法局</a:t>
            </a:r>
            <a:r>
              <a:rPr lang="en-US" altLang="zh-CN"/>
              <a:t>2020</a:t>
            </a:r>
            <a:r>
              <a:rPr lang="zh-CN" altLang="en-US"/>
              <a:t>年决算收入合计 </a:t>
            </a:r>
            <a:endParaRPr lang="zh-CN" altLang="en-US"/>
          </a:p>
        </c:rich>
      </c:tx>
      <c:layout>
        <c:manualLayout>
          <c:xMode val="edge"/>
          <c:yMode val="edge"/>
          <c:x val="0.160411823314513"/>
          <c:y val="0.026395173453997"/>
        </c:manualLayout>
      </c:layout>
      <c:overlay val="0"/>
      <c:spPr>
        <a:noFill/>
        <a:ln>
          <a:noFill/>
        </a:ln>
        <a:effectLst/>
      </c:spPr>
    </c:title>
    <c:autoTitleDeleted val="0"/>
    <c:plotArea>
      <c:layout/>
      <c:pieChart>
        <c:varyColors val="1"/>
        <c:ser>
          <c:idx val="0"/>
          <c:order val="0"/>
          <c:tx>
            <c:strRef>
              <c:f>Sheet1!$B$1</c:f>
              <c:strCache>
                <c:ptCount val="1"/>
                <c:pt idx="0">
                  <c:v>绥德县退役军人事务局2020年决算收入合计</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财政全额拨款</c:v>
                </c:pt>
              </c:strCache>
            </c:strRef>
          </c:cat>
          <c:val>
            <c:numRef>
              <c:f>Sheet1!$B$2</c:f>
              <c:numCache>
                <c:formatCode>General</c:formatCode>
                <c:ptCount val="1"/>
                <c:pt idx="0">
                  <c:v>6560.23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绥德县司法局</a:t>
            </a:r>
            <a:r>
              <a:rPr lang="en-US" altLang="zh-CN"/>
              <a:t>2020</a:t>
            </a:r>
            <a:r>
              <a:rPr lang="zh-CN" altLang="en-US"/>
              <a:t>年决算支出合计</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绥德县退役军人事务局2020年决算支出合计</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财政全额拨款</c:v>
                </c:pt>
              </c:strCache>
            </c:strRef>
          </c:cat>
          <c:val>
            <c:numRef>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收入决算</c:v>
                </c:pt>
              </c:strCache>
            </c:strRef>
          </c:tx>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2"/>
                <c:pt idx="0">
                  <c:v>司法局一般公共财政拨款收入</c:v>
                </c:pt>
                <c:pt idx="1">
                  <c:v>公证处一般公共财政拨款收入</c:v>
                </c:pt>
              </c:strCache>
            </c:strRef>
          </c:cat>
          <c:val>
            <c:numRef>
              <c:f>Sheet1!$B$2:$B$5</c:f>
              <c:numCache>
                <c:formatCode>0%</c:formatCode>
                <c:ptCount val="4"/>
                <c:pt idx="0">
                  <c:v>13.373</c:v>
                </c:pt>
                <c:pt idx="1" c:formatCode="0.00%">
                  <c:v>0.7584</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view3D>
      <c:rotX val="50"/>
      <c:rotY val="115"/>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支出决算</c:v>
                </c:pt>
              </c:strCache>
            </c:strRef>
          </c:tx>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2"/>
                <c:pt idx="0">
                  <c:v>基本支出</c:v>
                </c:pt>
                <c:pt idx="1">
                  <c:v>项目支出</c:v>
                </c:pt>
              </c:strCache>
            </c:strRef>
          </c:cat>
          <c:val>
            <c:numRef>
              <c:f>Sheet1!$B$2:$B$5</c:f>
              <c:numCache>
                <c:formatCode>General</c:formatCode>
                <c:ptCount val="4"/>
                <c:pt idx="0">
                  <c:v>977.19</c:v>
                </c:pt>
                <c:pt idx="1">
                  <c:v>435.95</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2020收入与2019年收支变化表</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elete val="1"/>
          </c:dLbls>
          <c:cat>
            <c:strRef>
              <c:f>Sheet1!$A$2:$A$5</c:f>
              <c:strCache>
                <c:ptCount val="4"/>
                <c:pt idx="0">
                  <c:v>2020年收入</c:v>
                </c:pt>
                <c:pt idx="1">
                  <c:v>2019年收入</c:v>
                </c:pt>
                <c:pt idx="2">
                  <c:v>2020年支出</c:v>
                </c:pt>
                <c:pt idx="3">
                  <c:v>2019年支出</c:v>
                </c:pt>
              </c:strCache>
            </c:strRef>
          </c:cat>
          <c:val>
            <c:numRef>
              <c:f>Sheet1!$B$2:$B$5</c:f>
              <c:numCache>
                <c:formatCode>General</c:formatCode>
                <c:ptCount val="4"/>
                <c:pt idx="0">
                  <c:v>1413.14</c:v>
                </c:pt>
                <c:pt idx="1">
                  <c:v>1165.51</c:v>
                </c:pt>
                <c:pt idx="2">
                  <c:v>1413.14</c:v>
                </c:pt>
                <c:pt idx="3">
                  <c:v>1165.51</c:v>
                </c:pt>
              </c:numCache>
            </c:numRef>
          </c:val>
        </c:ser>
        <c:dLbls>
          <c:showLegendKey val="0"/>
          <c:showVal val="0"/>
          <c:showCatName val="0"/>
          <c:showSerName val="0"/>
          <c:showPercent val="0"/>
          <c:showBubbleSize val="0"/>
        </c:dLbls>
        <c:gapWidth val="150"/>
        <c:overlap val="100"/>
        <c:axId val="1425893391"/>
        <c:axId val="1425895887"/>
      </c:barChart>
      <c:catAx>
        <c:axId val="142589339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5895887"/>
        <c:crosses val="autoZero"/>
        <c:auto val="1"/>
        <c:lblAlgn val="ctr"/>
        <c:lblOffset val="100"/>
        <c:noMultiLvlLbl val="0"/>
      </c:catAx>
      <c:valAx>
        <c:axId val="1425895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5893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1170.05</c:v>
                </c:pt>
                <c:pt idx="1">
                  <c:v>97.96</c:v>
                </c:pt>
                <c:pt idx="2">
                  <c:v>93.74</c:v>
                </c:pt>
                <c:pt idx="3">
                  <c:v>51.4</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一般公共预算财政拨款基本支出</c:v>
                </c:pt>
              </c:strCache>
            </c:strRef>
          </c:tx>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2"/>
                <c:pt idx="0">
                  <c:v>人员经费</c:v>
                </c:pt>
                <c:pt idx="1">
                  <c:v>公用经费</c:v>
                </c:pt>
              </c:strCache>
            </c:strRef>
          </c:cat>
          <c:val>
            <c:numRef>
              <c:f>Sheet1!$B$2:$B$5</c:f>
              <c:numCache>
                <c:formatCode>General</c:formatCode>
                <c:ptCount val="4"/>
                <c:pt idx="0">
                  <c:v>766.73</c:v>
                </c:pt>
                <c:pt idx="1">
                  <c:v>210.46</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r>
              <a:rPr lang="zh-CN" altLang="en-US"/>
              <a:t>司法局固定资产占比</a:t>
            </a:r>
            <a:endParaRPr lang="zh-CN" altLang="en-US"/>
          </a:p>
        </c:rich>
      </c:tx>
      <c:layout>
        <c:manualLayout>
          <c:xMode val="edge"/>
          <c:yMode val="edge"/>
          <c:x val="0.286307779235929"/>
          <c:y val="0.691676436107855"/>
        </c:manualLayout>
      </c:layout>
      <c:overlay val="0"/>
      <c:spPr>
        <a:noFill/>
        <a:ln>
          <a:noFill/>
        </a:ln>
        <a:effectLst/>
      </c:sp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
          <c:y val="0.00158730158730159"/>
          <c:w val="0.949074074074074"/>
          <c:h val="0.693352705911761"/>
        </c:manualLayout>
      </c:layout>
      <c:pie3DChart>
        <c:varyColors val="1"/>
        <c:ser>
          <c:idx val="0"/>
          <c:order val="0"/>
          <c:tx>
            <c:strRef>
              <c:f>Sheet1!$B$1</c:f>
              <c:strCache>
                <c:ptCount val="1"/>
                <c:pt idx="0">
                  <c:v>司法局固定资产</c:v>
                </c:pt>
              </c:strCache>
            </c:strRef>
          </c:tx>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通用设备</c:v>
                </c:pt>
                <c:pt idx="1">
                  <c:v>专用设备</c:v>
                </c:pt>
                <c:pt idx="2">
                  <c:v>家具、用具、装具及动植物</c:v>
                </c:pt>
              </c:strCache>
            </c:strRef>
          </c:cat>
          <c:val>
            <c:numRef>
              <c:f>Sheet1!$B$2:$B$5</c:f>
              <c:numCache>
                <c:formatCode>General</c:formatCode>
                <c:ptCount val="4"/>
                <c:pt idx="0">
                  <c:v>150.75</c:v>
                </c:pt>
                <c:pt idx="1">
                  <c:v>1.67</c:v>
                </c:pt>
                <c:pt idx="2">
                  <c:v>62.41</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1866</Words>
  <Characters>10639</Characters>
  <Lines>88</Lines>
  <Paragraphs>24</Paragraphs>
  <TotalTime>74</TotalTime>
  <ScaleCrop>false</ScaleCrop>
  <LinksUpToDate>false</LinksUpToDate>
  <CharactersWithSpaces>12481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Administrator</cp:lastModifiedBy>
  <cp:lastPrinted>2021-11-08T09:39:00Z</cp:lastPrinted>
  <dcterms:modified xsi:type="dcterms:W3CDTF">2021-11-08T09:50:20Z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D0B7306F1E554D5891FA2EB96E4738FC</vt:lpwstr>
  </property>
</Properties>
</file>